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C5" w:rsidRDefault="00FC61EC">
      <w:pPr>
        <w:widowControl w:val="0"/>
        <w:spacing w:after="0" w:line="360" w:lineRule="auto"/>
        <w:jc w:val="center"/>
        <w:rPr>
          <w:sz w:val="24"/>
          <w:szCs w:val="24"/>
        </w:rPr>
      </w:pPr>
      <w:r>
        <w:rPr>
          <w:noProof/>
          <w:sz w:val="24"/>
          <w:szCs w:val="24"/>
          <w:lang w:val="pt-BR"/>
        </w:rPr>
        <w:drawing>
          <wp:inline distT="0" distB="0" distL="0" distR="0">
            <wp:extent cx="1337310" cy="1195705"/>
            <wp:effectExtent l="0" t="0" r="0" b="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37310" cy="1195705"/>
                    </a:xfrm>
                    <a:prstGeom prst="rect">
                      <a:avLst/>
                    </a:prstGeom>
                    <a:ln/>
                  </pic:spPr>
                </pic:pic>
              </a:graphicData>
            </a:graphic>
          </wp:inline>
        </w:drawing>
      </w:r>
    </w:p>
    <w:p w:rsidR="009A3BC5" w:rsidRDefault="00FC61EC">
      <w:pPr>
        <w:widowControl w:val="0"/>
        <w:spacing w:after="0" w:line="360" w:lineRule="auto"/>
        <w:jc w:val="center"/>
        <w:rPr>
          <w:sz w:val="24"/>
          <w:szCs w:val="24"/>
        </w:rPr>
      </w:pPr>
      <w:r>
        <w:rPr>
          <w:b/>
          <w:sz w:val="24"/>
          <w:szCs w:val="24"/>
        </w:rPr>
        <w:t>MINISTÉRIO DA EDUCAÇÃO</w:t>
      </w:r>
    </w:p>
    <w:p w:rsidR="009A3BC5" w:rsidRDefault="00FC61EC">
      <w:pPr>
        <w:widowControl w:val="0"/>
        <w:spacing w:after="0" w:line="360" w:lineRule="auto"/>
        <w:jc w:val="center"/>
        <w:rPr>
          <w:sz w:val="24"/>
          <w:szCs w:val="24"/>
        </w:rPr>
      </w:pPr>
      <w:r>
        <w:rPr>
          <w:b/>
          <w:sz w:val="24"/>
          <w:szCs w:val="24"/>
        </w:rPr>
        <w:t>UNIVERSIDADE FEDERAL DE LAVRAS</w:t>
      </w:r>
    </w:p>
    <w:p w:rsidR="009A3BC5" w:rsidRDefault="00FC61EC">
      <w:pPr>
        <w:widowControl w:val="0"/>
        <w:spacing w:after="0" w:line="360" w:lineRule="auto"/>
        <w:jc w:val="center"/>
        <w:rPr>
          <w:sz w:val="24"/>
          <w:szCs w:val="24"/>
        </w:rPr>
      </w:pPr>
      <w:r>
        <w:rPr>
          <w:b/>
          <w:sz w:val="24"/>
          <w:szCs w:val="24"/>
        </w:rPr>
        <w:t>Pró-Reitoria de Assuntos Estudantis e Comunitários</w:t>
      </w:r>
    </w:p>
    <w:p w:rsidR="009A3BC5" w:rsidRDefault="009A3BC5">
      <w:pPr>
        <w:keepNext/>
        <w:keepLines/>
        <w:widowControl w:val="0"/>
        <w:pBdr>
          <w:top w:val="nil"/>
          <w:left w:val="nil"/>
          <w:bottom w:val="nil"/>
          <w:right w:val="nil"/>
          <w:between w:val="nil"/>
        </w:pBdr>
        <w:spacing w:after="0" w:line="360" w:lineRule="auto"/>
        <w:jc w:val="center"/>
        <w:rPr>
          <w:b/>
          <w:color w:val="000000"/>
          <w:sz w:val="24"/>
          <w:szCs w:val="24"/>
        </w:rPr>
      </w:pPr>
    </w:p>
    <w:p w:rsidR="009A3BC5" w:rsidRDefault="009A3BC5">
      <w:pPr>
        <w:spacing w:after="0" w:line="360" w:lineRule="auto"/>
        <w:rPr>
          <w:sz w:val="24"/>
          <w:szCs w:val="24"/>
        </w:rPr>
      </w:pPr>
    </w:p>
    <w:p w:rsidR="009A3BC5" w:rsidRDefault="009A3BC5">
      <w:pPr>
        <w:spacing w:after="0" w:line="360" w:lineRule="auto"/>
        <w:rPr>
          <w:b/>
          <w:sz w:val="24"/>
          <w:szCs w:val="24"/>
        </w:rPr>
      </w:pPr>
    </w:p>
    <w:p w:rsidR="009A3BC5" w:rsidRDefault="009A3BC5">
      <w:pPr>
        <w:spacing w:after="0" w:line="360" w:lineRule="auto"/>
        <w:rPr>
          <w:b/>
          <w:sz w:val="24"/>
          <w:szCs w:val="24"/>
        </w:rPr>
      </w:pPr>
    </w:p>
    <w:p w:rsidR="009A3BC5" w:rsidRDefault="009A3BC5">
      <w:pPr>
        <w:spacing w:after="0" w:line="360" w:lineRule="auto"/>
        <w:rPr>
          <w:b/>
          <w:sz w:val="24"/>
          <w:szCs w:val="24"/>
        </w:rPr>
      </w:pPr>
    </w:p>
    <w:p w:rsidR="009A3BC5" w:rsidRDefault="009A3BC5">
      <w:pPr>
        <w:spacing w:after="0" w:line="360" w:lineRule="auto"/>
        <w:rPr>
          <w:b/>
          <w:sz w:val="24"/>
          <w:szCs w:val="24"/>
        </w:rPr>
      </w:pPr>
    </w:p>
    <w:p w:rsidR="009A3BC5" w:rsidRDefault="009A3BC5">
      <w:pPr>
        <w:spacing w:after="0" w:line="360" w:lineRule="auto"/>
        <w:jc w:val="center"/>
        <w:rPr>
          <w:b/>
          <w:sz w:val="24"/>
          <w:szCs w:val="24"/>
        </w:rPr>
      </w:pPr>
    </w:p>
    <w:p w:rsidR="009A3BC5" w:rsidRDefault="00FC61EC">
      <w:pPr>
        <w:spacing w:after="0" w:line="360" w:lineRule="auto"/>
        <w:jc w:val="center"/>
        <w:rPr>
          <w:b/>
          <w:sz w:val="24"/>
          <w:szCs w:val="24"/>
        </w:rPr>
      </w:pPr>
      <w:r>
        <w:rPr>
          <w:b/>
          <w:sz w:val="24"/>
          <w:szCs w:val="24"/>
        </w:rPr>
        <w:t>Avaliação dos Resultados do Programa Nacional de Assistência aos Estudantes (PNAES) na Universidade Federal de Lavras</w:t>
      </w:r>
    </w:p>
    <w:p w:rsidR="009A3BC5" w:rsidRDefault="009A3BC5">
      <w:pPr>
        <w:spacing w:after="0" w:line="360" w:lineRule="auto"/>
        <w:jc w:val="center"/>
        <w:rPr>
          <w:b/>
          <w:sz w:val="24"/>
          <w:szCs w:val="24"/>
        </w:rPr>
      </w:pPr>
    </w:p>
    <w:p w:rsidR="009A3BC5" w:rsidRDefault="00FC61EC">
      <w:pPr>
        <w:spacing w:after="0" w:line="360" w:lineRule="auto"/>
        <w:jc w:val="center"/>
        <w:rPr>
          <w:b/>
          <w:sz w:val="24"/>
          <w:szCs w:val="24"/>
        </w:rPr>
      </w:pPr>
      <w:r>
        <w:rPr>
          <w:b/>
          <w:sz w:val="24"/>
          <w:szCs w:val="24"/>
        </w:rPr>
        <w:t>202</w:t>
      </w:r>
      <w:r w:rsidR="0078517D">
        <w:rPr>
          <w:b/>
          <w:sz w:val="24"/>
          <w:szCs w:val="24"/>
        </w:rPr>
        <w:t>2</w:t>
      </w: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9A3BC5">
      <w:pPr>
        <w:spacing w:after="0" w:line="360" w:lineRule="auto"/>
        <w:rPr>
          <w:sz w:val="24"/>
          <w:szCs w:val="24"/>
        </w:rPr>
      </w:pPr>
    </w:p>
    <w:p w:rsidR="009A3BC5" w:rsidRDefault="00FC61EC">
      <w:pPr>
        <w:spacing w:after="0" w:line="360" w:lineRule="auto"/>
        <w:jc w:val="center"/>
        <w:rPr>
          <w:b/>
          <w:sz w:val="24"/>
          <w:szCs w:val="24"/>
        </w:rPr>
      </w:pPr>
      <w:r>
        <w:rPr>
          <w:b/>
          <w:sz w:val="24"/>
          <w:szCs w:val="24"/>
        </w:rPr>
        <w:t>Lavras-MG</w:t>
      </w:r>
    </w:p>
    <w:p w:rsidR="009A3BC5" w:rsidRDefault="00FC61EC">
      <w:pPr>
        <w:spacing w:after="0" w:line="360" w:lineRule="auto"/>
        <w:jc w:val="center"/>
        <w:rPr>
          <w:b/>
          <w:sz w:val="24"/>
          <w:szCs w:val="24"/>
        </w:rPr>
        <w:sectPr w:rsidR="009A3BC5">
          <w:footerReference w:type="default" r:id="rId9"/>
          <w:pgSz w:w="11906" w:h="16838"/>
          <w:pgMar w:top="1134" w:right="847" w:bottom="1134" w:left="1418" w:header="709" w:footer="709" w:gutter="0"/>
          <w:pgNumType w:start="1"/>
          <w:cols w:space="720"/>
        </w:sectPr>
      </w:pPr>
      <w:r>
        <w:rPr>
          <w:b/>
          <w:sz w:val="24"/>
          <w:szCs w:val="24"/>
        </w:rPr>
        <w:t>Março/2</w:t>
      </w:r>
      <w:r w:rsidR="00932FF8">
        <w:rPr>
          <w:b/>
          <w:sz w:val="24"/>
          <w:szCs w:val="24"/>
        </w:rPr>
        <w:t>3</w:t>
      </w:r>
    </w:p>
    <w:p w:rsidR="009A3BC5" w:rsidRDefault="00FC61EC" w:rsidP="00932FF8">
      <w:pPr>
        <w:pStyle w:val="Ttulo3"/>
        <w:widowControl w:val="0"/>
        <w:spacing w:after="0" w:line="360" w:lineRule="auto"/>
        <w:jc w:val="both"/>
      </w:pPr>
      <w:bookmarkStart w:id="0" w:name="_heading=h.aagip1ptr02p" w:colFirst="0" w:colLast="0"/>
      <w:bookmarkStart w:id="1" w:name="_heading=h.b6ebkg53ejhc" w:colFirst="0" w:colLast="0"/>
      <w:bookmarkStart w:id="2" w:name="_heading=h.kn7o1657f07x" w:colFirst="0" w:colLast="0"/>
      <w:bookmarkStart w:id="3" w:name="_heading=h.a9aj3yk040ea" w:colFirst="0" w:colLast="0"/>
      <w:bookmarkStart w:id="4" w:name="_heading=h.cbmvndjhmmpa" w:colFirst="0" w:colLast="0"/>
      <w:bookmarkEnd w:id="0"/>
      <w:bookmarkEnd w:id="1"/>
      <w:bookmarkEnd w:id="2"/>
      <w:bookmarkEnd w:id="3"/>
      <w:bookmarkEnd w:id="4"/>
      <w:r>
        <w:lastRenderedPageBreak/>
        <w:t>1. Introdução</w:t>
      </w:r>
    </w:p>
    <w:p w:rsidR="009A3BC5" w:rsidRDefault="00FC61EC">
      <w:pPr>
        <w:widowControl w:val="0"/>
        <w:pBdr>
          <w:top w:val="nil"/>
          <w:left w:val="nil"/>
          <w:bottom w:val="nil"/>
          <w:right w:val="nil"/>
          <w:between w:val="nil"/>
        </w:pBdr>
        <w:spacing w:after="0" w:line="360" w:lineRule="auto"/>
        <w:ind w:firstLine="709"/>
        <w:jc w:val="both"/>
        <w:rPr>
          <w:color w:val="000000"/>
          <w:sz w:val="24"/>
          <w:szCs w:val="24"/>
        </w:rPr>
      </w:pPr>
      <w:r>
        <w:rPr>
          <w:color w:val="000000"/>
          <w:sz w:val="24"/>
          <w:szCs w:val="24"/>
        </w:rPr>
        <w:t xml:space="preserve">Este é o </w:t>
      </w:r>
      <w:r w:rsidR="0078517D">
        <w:rPr>
          <w:color w:val="000000"/>
          <w:sz w:val="24"/>
          <w:szCs w:val="24"/>
        </w:rPr>
        <w:t>sétimo</w:t>
      </w:r>
      <w:r>
        <w:rPr>
          <w:color w:val="000000"/>
          <w:sz w:val="24"/>
          <w:szCs w:val="24"/>
        </w:rPr>
        <w:t xml:space="preserve"> relatório de uma série de relatórios anuais de Avaliação da Aplicação dos Recursos do Programa Nacional de Assistência Estudantil - PNAES na Universidade Federal de Lavras - UFLA, que podem ser </w:t>
      </w:r>
      <w:r w:rsidR="0078517D">
        <w:rPr>
          <w:color w:val="000000"/>
          <w:sz w:val="24"/>
          <w:szCs w:val="24"/>
        </w:rPr>
        <w:t>acossados</w:t>
      </w:r>
      <w:r>
        <w:rPr>
          <w:color w:val="000000"/>
          <w:sz w:val="24"/>
          <w:szCs w:val="24"/>
        </w:rPr>
        <w:t xml:space="preserve"> </w:t>
      </w:r>
      <w:r w:rsidR="0078517D">
        <w:rPr>
          <w:color w:val="000000"/>
          <w:sz w:val="24"/>
          <w:szCs w:val="24"/>
        </w:rPr>
        <w:t>m0</w:t>
      </w:r>
      <w:r>
        <w:rPr>
          <w:color w:val="000000"/>
          <w:sz w:val="24"/>
          <w:szCs w:val="24"/>
        </w:rPr>
        <w:t xml:space="preserve"> site da Pró-reitoria de Assuntos Estudantis e Co</w:t>
      </w:r>
      <w:r>
        <w:rPr>
          <w:color w:val="000000"/>
          <w:sz w:val="24"/>
          <w:szCs w:val="24"/>
        </w:rPr>
        <w:t>munitários - PRAEC da Universidade Federal de Lavras – UFLA</w:t>
      </w:r>
      <w:r w:rsidR="0078517D">
        <w:rPr>
          <w:color w:val="000000"/>
          <w:sz w:val="24"/>
          <w:szCs w:val="24"/>
        </w:rPr>
        <w:t>.</w:t>
      </w:r>
    </w:p>
    <w:p w:rsidR="009A3BC5" w:rsidRDefault="00FC61EC">
      <w:pPr>
        <w:widowControl w:val="0"/>
        <w:pBdr>
          <w:top w:val="nil"/>
          <w:left w:val="nil"/>
          <w:bottom w:val="nil"/>
          <w:right w:val="nil"/>
          <w:between w:val="nil"/>
        </w:pBdr>
        <w:spacing w:after="0" w:line="360" w:lineRule="auto"/>
        <w:ind w:firstLine="708"/>
        <w:jc w:val="both"/>
        <w:rPr>
          <w:color w:val="000000"/>
          <w:sz w:val="24"/>
          <w:szCs w:val="24"/>
        </w:rPr>
      </w:pPr>
      <w:r>
        <w:rPr>
          <w:color w:val="000000"/>
          <w:sz w:val="24"/>
          <w:szCs w:val="24"/>
        </w:rPr>
        <w:t xml:space="preserve">O </w:t>
      </w:r>
      <w:r w:rsidR="0078517D">
        <w:rPr>
          <w:color w:val="000000"/>
          <w:sz w:val="24"/>
          <w:szCs w:val="24"/>
        </w:rPr>
        <w:t xml:space="preserve">propósito </w:t>
      </w:r>
      <w:r>
        <w:rPr>
          <w:color w:val="000000"/>
          <w:sz w:val="24"/>
          <w:szCs w:val="24"/>
        </w:rPr>
        <w:t>desses relatórios é dar publicidade às ações feitas na UFLA relativas a Assistência Estudantil custeadas com recursos do PNAES, que tem por finalidade a permanência dos jovens na educ</w:t>
      </w:r>
      <w:r>
        <w:rPr>
          <w:color w:val="000000"/>
          <w:sz w:val="24"/>
          <w:szCs w:val="24"/>
        </w:rPr>
        <w:t xml:space="preserve">ação superior pública federal, reduzir as taxas de retenção e evasão de estudantes de graduação </w:t>
      </w:r>
      <w:r w:rsidR="0078517D">
        <w:rPr>
          <w:color w:val="000000"/>
          <w:sz w:val="24"/>
          <w:szCs w:val="24"/>
        </w:rPr>
        <w:t>em situação de vulnerabilidade socioeconômica</w:t>
      </w:r>
      <w:r>
        <w:rPr>
          <w:color w:val="000000"/>
          <w:sz w:val="24"/>
          <w:szCs w:val="24"/>
        </w:rPr>
        <w:t xml:space="preserve">. </w:t>
      </w:r>
      <w:r w:rsidR="003C6BCC">
        <w:rPr>
          <w:color w:val="000000"/>
          <w:sz w:val="24"/>
          <w:szCs w:val="24"/>
        </w:rPr>
        <w:t>Visa, a</w:t>
      </w:r>
      <w:r>
        <w:rPr>
          <w:color w:val="000000"/>
          <w:sz w:val="24"/>
          <w:szCs w:val="24"/>
        </w:rPr>
        <w:t>inda atender o estabelecido no inciso II do artigo 5° do Decreto nº 7234/2010 que define a obrigação da IF</w:t>
      </w:r>
      <w:r>
        <w:rPr>
          <w:color w:val="000000"/>
          <w:sz w:val="24"/>
          <w:szCs w:val="24"/>
        </w:rPr>
        <w:t>ES de fixar mecanismos de acompanhamento e avaliação do PNAES.</w:t>
      </w:r>
    </w:p>
    <w:p w:rsidR="009A3BC5" w:rsidRDefault="00FC61EC">
      <w:pPr>
        <w:widowControl w:val="0"/>
        <w:pBdr>
          <w:top w:val="nil"/>
          <w:left w:val="nil"/>
          <w:bottom w:val="nil"/>
          <w:right w:val="nil"/>
          <w:between w:val="nil"/>
        </w:pBdr>
        <w:spacing w:after="0" w:line="360" w:lineRule="auto"/>
        <w:ind w:firstLine="708"/>
        <w:jc w:val="both"/>
        <w:rPr>
          <w:color w:val="000000"/>
          <w:sz w:val="24"/>
          <w:szCs w:val="24"/>
        </w:rPr>
      </w:pPr>
      <w:r>
        <w:rPr>
          <w:color w:val="000000"/>
          <w:sz w:val="24"/>
          <w:szCs w:val="24"/>
        </w:rPr>
        <w:t>A Pró-Reitoria de Assuntos Estudantis e Comunitários (</w:t>
      </w:r>
      <w:r w:rsidR="003C6BCC">
        <w:rPr>
          <w:color w:val="000000"/>
          <w:sz w:val="24"/>
          <w:szCs w:val="24"/>
        </w:rPr>
        <w:t>PRAEC</w:t>
      </w:r>
      <w:r>
        <w:rPr>
          <w:color w:val="000000"/>
          <w:sz w:val="24"/>
          <w:szCs w:val="24"/>
        </w:rPr>
        <w:t>) é a responsável direta pelas ações voltadas à assistência estudantil, trabalhando com um conjunto de princípios e diretrizes que ori</w:t>
      </w:r>
      <w:r>
        <w:rPr>
          <w:color w:val="000000"/>
          <w:sz w:val="24"/>
          <w:szCs w:val="24"/>
        </w:rPr>
        <w:t>entam ações e programas que visam contribuir para o processo de democratização do acesso de estudantes à UFLA</w:t>
      </w:r>
      <w:r w:rsidR="003C6BCC">
        <w:rPr>
          <w:color w:val="000000"/>
          <w:sz w:val="24"/>
          <w:szCs w:val="24"/>
        </w:rPr>
        <w:t xml:space="preserve"> e </w:t>
      </w:r>
      <w:r>
        <w:rPr>
          <w:color w:val="000000"/>
          <w:sz w:val="24"/>
          <w:szCs w:val="24"/>
        </w:rPr>
        <w:t>ampliar as condições de permanência de estudantes em condições de vulnerabilidade socioeconômica.</w:t>
      </w:r>
    </w:p>
    <w:p w:rsidR="0089459C" w:rsidRPr="0089459C" w:rsidRDefault="0089459C" w:rsidP="0089459C">
      <w:pPr>
        <w:widowControl w:val="0"/>
        <w:pBdr>
          <w:top w:val="nil"/>
          <w:left w:val="nil"/>
          <w:bottom w:val="nil"/>
          <w:right w:val="nil"/>
          <w:between w:val="nil"/>
        </w:pBdr>
        <w:spacing w:after="0" w:line="360" w:lineRule="auto"/>
        <w:ind w:firstLine="708"/>
        <w:jc w:val="both"/>
        <w:rPr>
          <w:color w:val="000000"/>
          <w:sz w:val="24"/>
          <w:szCs w:val="24"/>
        </w:rPr>
      </w:pPr>
      <w:r w:rsidRPr="0089459C">
        <w:rPr>
          <w:color w:val="000000"/>
          <w:sz w:val="24"/>
          <w:szCs w:val="24"/>
        </w:rPr>
        <w:t xml:space="preserve">A PRAEC trabalha para acolher e reconhecer a diversidade da comunidade estudantil e a singularidade de cada indivíduo. Atuando nas dimensões e perspetivas da inclusão, promovendo a equidade, a valorização e ofertando condições mínimas de permanência aos discentes por meio dos recursos advindos do Programa Nacional de Assistência Estudantil (PNAES). </w:t>
      </w:r>
    </w:p>
    <w:p w:rsidR="009A3BC5" w:rsidRPr="0089459C" w:rsidRDefault="003C6BCC" w:rsidP="0089459C">
      <w:pPr>
        <w:widowControl w:val="0"/>
        <w:pBdr>
          <w:top w:val="nil"/>
          <w:left w:val="nil"/>
          <w:bottom w:val="nil"/>
          <w:right w:val="nil"/>
          <w:between w:val="nil"/>
        </w:pBdr>
        <w:spacing w:after="0" w:line="360" w:lineRule="auto"/>
        <w:ind w:firstLine="708"/>
        <w:jc w:val="both"/>
        <w:rPr>
          <w:color w:val="000000"/>
        </w:rPr>
      </w:pPr>
      <w:r>
        <w:rPr>
          <w:color w:val="000000"/>
          <w:sz w:val="24"/>
          <w:szCs w:val="24"/>
        </w:rPr>
        <w:t>As ações da pró-reitoria se fundamentam no acolhimento e no</w:t>
      </w:r>
      <w:r w:rsidR="0089459C">
        <w:rPr>
          <w:color w:val="000000"/>
          <w:sz w:val="24"/>
          <w:szCs w:val="24"/>
        </w:rPr>
        <w:t xml:space="preserve"> </w:t>
      </w:r>
      <w:r>
        <w:rPr>
          <w:color w:val="000000"/>
          <w:sz w:val="24"/>
          <w:szCs w:val="24"/>
        </w:rPr>
        <w:t>reconhecimento da diversidade da comunidade estudantil e da singularidade de cada um, fazendo com que a PRAEC atue na perspetiva da inclusão, promoção da equidade, com valorização e respeito à diversidade, formação ampliada, produção de conhecimento, melhoria do desempenho acadêmico, da qualidade de vida, agindo preventivamente nas situações de retenção e evasão, decorrentes das condições de vulnerabilidade socioeconômica e das desigualdades sociais e regionais.</w:t>
      </w:r>
    </w:p>
    <w:p w:rsidR="009A3BC5" w:rsidRDefault="00FC61EC">
      <w:pPr>
        <w:widowControl w:val="0"/>
        <w:pBdr>
          <w:top w:val="nil"/>
          <w:left w:val="nil"/>
          <w:bottom w:val="nil"/>
          <w:right w:val="nil"/>
          <w:between w:val="nil"/>
        </w:pBdr>
        <w:spacing w:after="0" w:line="360" w:lineRule="auto"/>
        <w:jc w:val="both"/>
        <w:rPr>
          <w:color w:val="000000"/>
          <w:sz w:val="24"/>
          <w:szCs w:val="24"/>
        </w:rPr>
      </w:pPr>
      <w:r>
        <w:rPr>
          <w:color w:val="000000"/>
          <w:sz w:val="24"/>
          <w:szCs w:val="24"/>
        </w:rPr>
        <w:tab/>
        <w:t>Tendo como referência o Plano de Desenvolvim</w:t>
      </w:r>
      <w:r>
        <w:rPr>
          <w:color w:val="000000"/>
          <w:sz w:val="24"/>
          <w:szCs w:val="24"/>
        </w:rPr>
        <w:t>ento Institucional (PDI) 202</w:t>
      </w:r>
      <w:r>
        <w:rPr>
          <w:sz w:val="24"/>
          <w:szCs w:val="24"/>
        </w:rPr>
        <w:t>1</w:t>
      </w:r>
      <w:r>
        <w:rPr>
          <w:color w:val="000000"/>
          <w:sz w:val="24"/>
          <w:szCs w:val="24"/>
        </w:rPr>
        <w:t xml:space="preserve">-2025, a </w:t>
      </w:r>
      <w:r w:rsidR="003C6BCC">
        <w:rPr>
          <w:color w:val="000000"/>
          <w:sz w:val="24"/>
          <w:szCs w:val="24"/>
        </w:rPr>
        <w:t xml:space="preserve">PRAEC </w:t>
      </w:r>
      <w:r>
        <w:rPr>
          <w:color w:val="000000"/>
          <w:sz w:val="24"/>
          <w:szCs w:val="24"/>
        </w:rPr>
        <w:t>atuou em diversos assuntos específicos que foram estruturados para cumprir o objetivo da assistência estudantil e assistência à comunidade, cujo desdobramento tem a sociedade como foco principal.</w:t>
      </w:r>
    </w:p>
    <w:p w:rsidR="009A3BC5" w:rsidRPr="006C22E3" w:rsidRDefault="00FC61EC" w:rsidP="006C22E3">
      <w:pPr>
        <w:widowControl w:val="0"/>
        <w:pBdr>
          <w:top w:val="nil"/>
          <w:left w:val="nil"/>
          <w:bottom w:val="nil"/>
          <w:right w:val="nil"/>
          <w:between w:val="nil"/>
        </w:pBdr>
        <w:spacing w:after="0" w:line="360" w:lineRule="auto"/>
        <w:ind w:firstLine="720"/>
        <w:jc w:val="both"/>
        <w:rPr>
          <w:color w:val="000000"/>
          <w:sz w:val="24"/>
          <w:szCs w:val="24"/>
        </w:rPr>
      </w:pPr>
      <w:r>
        <w:rPr>
          <w:color w:val="000000"/>
          <w:sz w:val="24"/>
          <w:szCs w:val="24"/>
        </w:rPr>
        <w:lastRenderedPageBreak/>
        <w:t>No ano de 202</w:t>
      </w:r>
      <w:r w:rsidR="003C6BCC">
        <w:rPr>
          <w:color w:val="000000"/>
          <w:sz w:val="24"/>
          <w:szCs w:val="24"/>
        </w:rPr>
        <w:t>2</w:t>
      </w:r>
      <w:r>
        <w:rPr>
          <w:color w:val="000000"/>
          <w:sz w:val="24"/>
          <w:szCs w:val="24"/>
        </w:rPr>
        <w:t xml:space="preserve">, </w:t>
      </w:r>
      <w:r>
        <w:rPr>
          <w:color w:val="000000"/>
          <w:sz w:val="24"/>
          <w:szCs w:val="24"/>
        </w:rPr>
        <w:t>algumas ações foram priorizadas devido às restrições orçamentárias impostas pelo governo</w:t>
      </w:r>
      <w:r w:rsidR="006C22E3">
        <w:rPr>
          <w:color w:val="000000"/>
          <w:sz w:val="24"/>
          <w:szCs w:val="24"/>
        </w:rPr>
        <w:t xml:space="preserve">, uma vez que </w:t>
      </w:r>
      <w:r>
        <w:rPr>
          <w:color w:val="000000"/>
          <w:sz w:val="24"/>
          <w:szCs w:val="24"/>
        </w:rPr>
        <w:t xml:space="preserve">a falta de aumento </w:t>
      </w:r>
      <w:r w:rsidR="006C22E3">
        <w:rPr>
          <w:color w:val="000000"/>
          <w:sz w:val="24"/>
          <w:szCs w:val="24"/>
        </w:rPr>
        <w:t>d</w:t>
      </w:r>
      <w:r>
        <w:rPr>
          <w:color w:val="000000"/>
          <w:sz w:val="24"/>
          <w:szCs w:val="24"/>
        </w:rPr>
        <w:t>os recursos a serem aplicados na assistência estudantil, limita a atuação e a efetividade das ações. Contudo, a UFLA tem aprimorado os</w:t>
      </w:r>
      <w:r>
        <w:rPr>
          <w:color w:val="000000"/>
          <w:sz w:val="24"/>
          <w:szCs w:val="24"/>
        </w:rPr>
        <w:t xml:space="preserve"> processos de acompanhamento e avaliação da efetividade das ações de Assistência Estudantil, não só com recursos oriundos do PNAES, visto que outros recursos da instituição são aplicados para garantir aos estudantes sua permanência na educação superior.</w:t>
      </w:r>
    </w:p>
    <w:p w:rsidR="009A3BC5" w:rsidRDefault="00FC61EC">
      <w:pPr>
        <w:pStyle w:val="Ttulo3"/>
        <w:spacing w:after="0" w:line="360" w:lineRule="auto"/>
        <w:ind w:firstLine="720"/>
      </w:pPr>
      <w:bookmarkStart w:id="5" w:name="_heading=h.h5h5t174p64m" w:colFirst="0" w:colLast="0"/>
      <w:bookmarkEnd w:id="5"/>
      <w:r>
        <w:t>2.</w:t>
      </w:r>
      <w:r>
        <w:t xml:space="preserve"> Objetivo</w:t>
      </w:r>
    </w:p>
    <w:p w:rsidR="009A3BC5" w:rsidRPr="00825305" w:rsidRDefault="00FC61EC" w:rsidP="00825305">
      <w:pPr>
        <w:spacing w:after="0" w:line="360" w:lineRule="auto"/>
        <w:ind w:firstLine="720"/>
        <w:jc w:val="both"/>
        <w:rPr>
          <w:color w:val="000000"/>
          <w:sz w:val="24"/>
          <w:szCs w:val="24"/>
        </w:rPr>
      </w:pPr>
      <w:r>
        <w:rPr>
          <w:color w:val="000000"/>
          <w:sz w:val="24"/>
          <w:szCs w:val="24"/>
        </w:rPr>
        <w:t>Esta avaliação tem o objetivo de verificar se os recursos aplicados na Assistência Estudantil provenientes do PNAES e extra-PNAES colocaram o estudante vulnerável em condições de igualdade acadêmica com os demais estudantes no ano de 202</w:t>
      </w:r>
      <w:r w:rsidR="00825305">
        <w:rPr>
          <w:color w:val="000000"/>
          <w:sz w:val="24"/>
          <w:szCs w:val="24"/>
        </w:rPr>
        <w:t>2</w:t>
      </w:r>
      <w:r>
        <w:rPr>
          <w:color w:val="000000"/>
          <w:sz w:val="24"/>
          <w:szCs w:val="24"/>
        </w:rPr>
        <w:t>.</w:t>
      </w:r>
    </w:p>
    <w:p w:rsidR="009A3BC5" w:rsidRDefault="00FC61EC">
      <w:pPr>
        <w:pStyle w:val="Ttulo3"/>
        <w:spacing w:after="0" w:line="360" w:lineRule="auto"/>
        <w:ind w:firstLine="720"/>
      </w:pPr>
      <w:bookmarkStart w:id="6" w:name="_heading=h.r1bx8rj0beiu" w:colFirst="0" w:colLast="0"/>
      <w:bookmarkEnd w:id="6"/>
      <w:r>
        <w:t xml:space="preserve">3. </w:t>
      </w:r>
      <w:r>
        <w:t>Metas trabalhadas pela PRAEC em 202</w:t>
      </w:r>
      <w:r w:rsidR="00825305">
        <w:t>2</w:t>
      </w:r>
    </w:p>
    <w:p w:rsidR="00556468" w:rsidRPr="00556468" w:rsidRDefault="00FC61EC" w:rsidP="00556468">
      <w:pPr>
        <w:widowControl w:val="0"/>
        <w:pBdr>
          <w:top w:val="nil"/>
          <w:left w:val="nil"/>
          <w:bottom w:val="nil"/>
          <w:right w:val="nil"/>
          <w:between w:val="nil"/>
        </w:pBdr>
        <w:spacing w:before="120" w:line="360" w:lineRule="auto"/>
        <w:jc w:val="both"/>
        <w:rPr>
          <w:color w:val="000000"/>
          <w:sz w:val="24"/>
          <w:szCs w:val="24"/>
        </w:rPr>
      </w:pPr>
      <w:r>
        <w:rPr>
          <w:color w:val="000000"/>
          <w:sz w:val="24"/>
          <w:szCs w:val="24"/>
        </w:rPr>
        <w:tab/>
      </w:r>
      <w:r w:rsidR="0089459C" w:rsidRPr="0089459C">
        <w:rPr>
          <w:color w:val="000000"/>
          <w:sz w:val="24"/>
          <w:szCs w:val="24"/>
        </w:rPr>
        <w:t xml:space="preserve">Em 2022, houve a revisão, atualização e aprovação do Regimento da </w:t>
      </w:r>
      <w:r w:rsidR="00556468">
        <w:rPr>
          <w:color w:val="000000"/>
          <w:sz w:val="24"/>
          <w:szCs w:val="24"/>
        </w:rPr>
        <w:t xml:space="preserve">PRAEC </w:t>
      </w:r>
      <w:r w:rsidR="00556468" w:rsidRPr="0089459C">
        <w:rPr>
          <w:color w:val="000000"/>
          <w:sz w:val="24"/>
          <w:szCs w:val="24"/>
        </w:rPr>
        <w:t>(</w:t>
      </w:r>
      <w:r w:rsidR="0089459C" w:rsidRPr="0089459C">
        <w:rPr>
          <w:color w:val="000000"/>
          <w:sz w:val="24"/>
          <w:szCs w:val="24"/>
        </w:rPr>
        <w:t xml:space="preserve">Resolução CUNI 024 de 06/06/2022). Inúmeras ações são desenvolvidas na </w:t>
      </w:r>
      <w:r w:rsidR="0089459C">
        <w:rPr>
          <w:color w:val="000000"/>
          <w:sz w:val="24"/>
          <w:szCs w:val="24"/>
        </w:rPr>
        <w:t>PRAEC</w:t>
      </w:r>
      <w:r w:rsidR="0089459C" w:rsidRPr="0089459C">
        <w:rPr>
          <w:color w:val="000000"/>
          <w:sz w:val="24"/>
          <w:szCs w:val="24"/>
        </w:rPr>
        <w:t xml:space="preserve"> em fluxo contínuo, visando o pleno atendimento da comunidade acadêmica, merecendo destaque:</w:t>
      </w:r>
      <w:r>
        <w:rPr>
          <w:color w:val="000000"/>
          <w:sz w:val="24"/>
          <w:szCs w:val="24"/>
        </w:rPr>
        <w:br/>
      </w:r>
      <w:r w:rsidR="00556468" w:rsidRPr="00556468">
        <w:rPr>
          <w:color w:val="000000"/>
          <w:sz w:val="24"/>
          <w:szCs w:val="24"/>
        </w:rPr>
        <w:t xml:space="preserve">- O </w:t>
      </w:r>
      <w:r w:rsidR="00556468" w:rsidRPr="00556468">
        <w:rPr>
          <w:b/>
          <w:bCs/>
          <w:color w:val="000000"/>
          <w:sz w:val="24"/>
          <w:szCs w:val="24"/>
        </w:rPr>
        <w:t>Núcleo de Saúde Mental (NSM)</w:t>
      </w:r>
      <w:r w:rsidR="00556468" w:rsidRPr="00556468">
        <w:rPr>
          <w:color w:val="000000"/>
          <w:sz w:val="24"/>
          <w:szCs w:val="24"/>
        </w:rPr>
        <w:t>: ofertou consultas psicológicas, consultas médicas (psiquiatria), orientação farmacêutica e acolhimento de enfermagem, com agendamento prévio, aos discentes, servidores e funcionários terceirizados. O NSM conta com 3 psicólogos, 2 médicos psiquiatras, 1 farmacêutico, 1 técnica de enfermagem, 1 recepcionista e 1 auxiliar de serviços gerais. Os números apresentados na Tabela 1, demonstram claramente a importância deste serviço disponibilizado para a comunidade acadêmica.</w:t>
      </w:r>
    </w:p>
    <w:p w:rsidR="00556468" w:rsidRPr="00556468" w:rsidRDefault="00556468" w:rsidP="00556468">
      <w:pPr>
        <w:pBdr>
          <w:top w:val="nil"/>
          <w:left w:val="nil"/>
          <w:bottom w:val="nil"/>
          <w:right w:val="nil"/>
          <w:between w:val="nil"/>
        </w:pBdr>
        <w:shd w:val="clear" w:color="auto" w:fill="FFFFFF"/>
        <w:jc w:val="both"/>
        <w:rPr>
          <w:color w:val="000000"/>
          <w:sz w:val="24"/>
          <w:szCs w:val="24"/>
        </w:rPr>
      </w:pPr>
      <w:bookmarkStart w:id="7" w:name="bookmark=id.1fob9te" w:colFirst="0" w:colLast="0"/>
      <w:bookmarkEnd w:id="7"/>
      <w:r w:rsidRPr="00556468">
        <w:rPr>
          <w:b/>
          <w:color w:val="000000"/>
          <w:sz w:val="24"/>
          <w:szCs w:val="24"/>
        </w:rPr>
        <w:t xml:space="preserve">Tabela  </w:t>
      </w:r>
      <w:r>
        <w:rPr>
          <w:b/>
          <w:color w:val="000000"/>
          <w:sz w:val="24"/>
          <w:szCs w:val="24"/>
        </w:rPr>
        <w:t>1</w:t>
      </w:r>
      <w:r w:rsidRPr="00556468">
        <w:rPr>
          <w:color w:val="000000"/>
          <w:sz w:val="24"/>
          <w:szCs w:val="24"/>
        </w:rPr>
        <w:t>. Número de atendimentos realizados no NSM da Coordenadoria de Saúde,</w:t>
      </w:r>
      <w:r>
        <w:rPr>
          <w:color w:val="000000"/>
          <w:sz w:val="24"/>
          <w:szCs w:val="24"/>
        </w:rPr>
        <w:t>/PRAEC</w:t>
      </w:r>
      <w:r w:rsidRPr="00556468">
        <w:rPr>
          <w:color w:val="000000"/>
          <w:sz w:val="24"/>
          <w:szCs w:val="24"/>
        </w:rPr>
        <w:t xml:space="preserve"> durante o ano de 2022.</w:t>
      </w:r>
    </w:p>
    <w:tbl>
      <w:tblPr>
        <w:tblW w:w="5000" w:type="pct"/>
        <w:tblBorders>
          <w:top w:val="single" w:sz="4" w:space="0" w:color="000000"/>
          <w:bottom w:val="single" w:sz="4" w:space="0" w:color="000000"/>
        </w:tblBorders>
        <w:tblLook w:val="0400"/>
      </w:tblPr>
      <w:tblGrid>
        <w:gridCol w:w="2174"/>
        <w:gridCol w:w="1053"/>
        <w:gridCol w:w="1015"/>
        <w:gridCol w:w="1015"/>
        <w:gridCol w:w="1238"/>
        <w:gridCol w:w="996"/>
        <w:gridCol w:w="976"/>
        <w:gridCol w:w="1390"/>
      </w:tblGrid>
      <w:tr w:rsidR="00556468" w:rsidRPr="00556468" w:rsidTr="00556468">
        <w:trPr>
          <w:trHeight w:val="296"/>
        </w:trPr>
        <w:tc>
          <w:tcPr>
            <w:tcW w:w="1103" w:type="pct"/>
            <w:tcBorders>
              <w:top w:val="single" w:sz="4" w:space="0" w:color="000000"/>
              <w:bottom w:val="single" w:sz="4" w:space="0" w:color="000000"/>
            </w:tcBorders>
            <w:shd w:val="clear" w:color="auto" w:fill="FFFFFF"/>
            <w:vAlign w:val="center"/>
          </w:tcPr>
          <w:p w:rsidR="00556468" w:rsidRPr="00556468" w:rsidRDefault="00556468" w:rsidP="00E15BB6">
            <w:pPr>
              <w:rPr>
                <w:sz w:val="24"/>
                <w:szCs w:val="24"/>
              </w:rPr>
            </w:pPr>
          </w:p>
        </w:tc>
        <w:tc>
          <w:tcPr>
            <w:tcW w:w="534" w:type="pct"/>
            <w:tcBorders>
              <w:top w:val="single" w:sz="4" w:space="0" w:color="000000"/>
              <w:bottom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EG</w:t>
            </w:r>
          </w:p>
        </w:tc>
        <w:tc>
          <w:tcPr>
            <w:tcW w:w="515" w:type="pct"/>
            <w:tcBorders>
              <w:top w:val="single" w:sz="4" w:space="0" w:color="000000"/>
              <w:bottom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EGV</w:t>
            </w:r>
          </w:p>
        </w:tc>
        <w:tc>
          <w:tcPr>
            <w:tcW w:w="515" w:type="pct"/>
            <w:tcBorders>
              <w:top w:val="single" w:sz="4" w:space="0" w:color="000000"/>
              <w:bottom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EPG</w:t>
            </w:r>
          </w:p>
        </w:tc>
        <w:tc>
          <w:tcPr>
            <w:tcW w:w="628" w:type="pct"/>
            <w:tcBorders>
              <w:top w:val="single" w:sz="4" w:space="0" w:color="000000"/>
              <w:bottom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EPGV</w:t>
            </w:r>
          </w:p>
        </w:tc>
        <w:tc>
          <w:tcPr>
            <w:tcW w:w="505" w:type="pct"/>
            <w:tcBorders>
              <w:top w:val="single" w:sz="4" w:space="0" w:color="000000"/>
              <w:bottom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SER</w:t>
            </w:r>
          </w:p>
        </w:tc>
        <w:tc>
          <w:tcPr>
            <w:tcW w:w="495" w:type="pct"/>
            <w:tcBorders>
              <w:top w:val="single" w:sz="4" w:space="0" w:color="000000"/>
              <w:bottom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TER</w:t>
            </w:r>
          </w:p>
        </w:tc>
        <w:tc>
          <w:tcPr>
            <w:tcW w:w="705" w:type="pct"/>
            <w:tcBorders>
              <w:top w:val="single" w:sz="4" w:space="0" w:color="000000"/>
              <w:bottom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TOTAL</w:t>
            </w:r>
          </w:p>
        </w:tc>
      </w:tr>
      <w:tr w:rsidR="00556468" w:rsidRPr="00556468" w:rsidTr="00556468">
        <w:trPr>
          <w:trHeight w:val="259"/>
        </w:trPr>
        <w:tc>
          <w:tcPr>
            <w:tcW w:w="1103" w:type="pct"/>
            <w:tcBorders>
              <w:top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both"/>
              <w:rPr>
                <w:sz w:val="24"/>
                <w:szCs w:val="24"/>
              </w:rPr>
            </w:pPr>
            <w:r w:rsidRPr="00556468">
              <w:rPr>
                <w:sz w:val="24"/>
                <w:szCs w:val="24"/>
              </w:rPr>
              <w:t xml:space="preserve">Psicológicos </w:t>
            </w:r>
          </w:p>
        </w:tc>
        <w:tc>
          <w:tcPr>
            <w:tcW w:w="534" w:type="pct"/>
            <w:tcBorders>
              <w:top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1117</w:t>
            </w:r>
          </w:p>
        </w:tc>
        <w:tc>
          <w:tcPr>
            <w:tcW w:w="515" w:type="pct"/>
            <w:tcBorders>
              <w:top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40</w:t>
            </w:r>
          </w:p>
        </w:tc>
        <w:tc>
          <w:tcPr>
            <w:tcW w:w="515" w:type="pct"/>
            <w:tcBorders>
              <w:top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212</w:t>
            </w:r>
          </w:p>
        </w:tc>
        <w:tc>
          <w:tcPr>
            <w:tcW w:w="628" w:type="pct"/>
            <w:tcBorders>
              <w:top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w:t>
            </w:r>
          </w:p>
        </w:tc>
        <w:tc>
          <w:tcPr>
            <w:tcW w:w="505" w:type="pct"/>
            <w:tcBorders>
              <w:top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11</w:t>
            </w:r>
          </w:p>
        </w:tc>
        <w:tc>
          <w:tcPr>
            <w:tcW w:w="495" w:type="pct"/>
            <w:tcBorders>
              <w:top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12</w:t>
            </w:r>
          </w:p>
        </w:tc>
        <w:tc>
          <w:tcPr>
            <w:tcW w:w="705" w:type="pct"/>
            <w:tcBorders>
              <w:top w:val="single" w:sz="4" w:space="0" w:color="000000"/>
            </w:tcBorders>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1392</w:t>
            </w:r>
          </w:p>
        </w:tc>
      </w:tr>
      <w:tr w:rsidR="00556468" w:rsidRPr="00556468" w:rsidTr="00556468">
        <w:trPr>
          <w:trHeight w:val="272"/>
        </w:trPr>
        <w:tc>
          <w:tcPr>
            <w:tcW w:w="1103" w:type="pct"/>
            <w:shd w:val="clear" w:color="auto" w:fill="FFFFFF"/>
            <w:vAlign w:val="center"/>
          </w:tcPr>
          <w:p w:rsidR="00556468" w:rsidRPr="00556468" w:rsidRDefault="00556468" w:rsidP="00E15BB6">
            <w:pPr>
              <w:pBdr>
                <w:top w:val="nil"/>
                <w:left w:val="nil"/>
                <w:bottom w:val="nil"/>
                <w:right w:val="nil"/>
                <w:between w:val="nil"/>
              </w:pBdr>
              <w:rPr>
                <w:sz w:val="24"/>
                <w:szCs w:val="24"/>
              </w:rPr>
            </w:pPr>
            <w:r w:rsidRPr="00556468">
              <w:rPr>
                <w:sz w:val="24"/>
                <w:szCs w:val="24"/>
              </w:rPr>
              <w:t xml:space="preserve">Médicos </w:t>
            </w:r>
          </w:p>
        </w:tc>
        <w:tc>
          <w:tcPr>
            <w:tcW w:w="534"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1181</w:t>
            </w:r>
          </w:p>
        </w:tc>
        <w:tc>
          <w:tcPr>
            <w:tcW w:w="51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25</w:t>
            </w:r>
          </w:p>
        </w:tc>
        <w:tc>
          <w:tcPr>
            <w:tcW w:w="51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235</w:t>
            </w:r>
          </w:p>
        </w:tc>
        <w:tc>
          <w:tcPr>
            <w:tcW w:w="628"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1</w:t>
            </w:r>
          </w:p>
        </w:tc>
        <w:tc>
          <w:tcPr>
            <w:tcW w:w="50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60</w:t>
            </w:r>
          </w:p>
        </w:tc>
        <w:tc>
          <w:tcPr>
            <w:tcW w:w="49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46</w:t>
            </w:r>
          </w:p>
        </w:tc>
        <w:tc>
          <w:tcPr>
            <w:tcW w:w="70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1548</w:t>
            </w:r>
          </w:p>
        </w:tc>
      </w:tr>
      <w:tr w:rsidR="00556468" w:rsidRPr="00556468" w:rsidTr="00556468">
        <w:trPr>
          <w:trHeight w:val="259"/>
        </w:trPr>
        <w:tc>
          <w:tcPr>
            <w:tcW w:w="1103" w:type="pct"/>
            <w:shd w:val="clear" w:color="auto" w:fill="FFFFFF"/>
            <w:vAlign w:val="center"/>
          </w:tcPr>
          <w:p w:rsidR="00556468" w:rsidRPr="00556468" w:rsidRDefault="00556468" w:rsidP="00E15BB6">
            <w:pPr>
              <w:pBdr>
                <w:top w:val="nil"/>
                <w:left w:val="nil"/>
                <w:bottom w:val="nil"/>
                <w:right w:val="nil"/>
                <w:between w:val="nil"/>
              </w:pBdr>
              <w:rPr>
                <w:sz w:val="24"/>
                <w:szCs w:val="24"/>
              </w:rPr>
            </w:pPr>
            <w:r w:rsidRPr="00556468">
              <w:rPr>
                <w:sz w:val="24"/>
                <w:szCs w:val="24"/>
              </w:rPr>
              <w:t xml:space="preserve">TOTAL </w:t>
            </w:r>
          </w:p>
        </w:tc>
        <w:tc>
          <w:tcPr>
            <w:tcW w:w="534"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2298</w:t>
            </w:r>
          </w:p>
        </w:tc>
        <w:tc>
          <w:tcPr>
            <w:tcW w:w="51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65</w:t>
            </w:r>
          </w:p>
        </w:tc>
        <w:tc>
          <w:tcPr>
            <w:tcW w:w="51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447</w:t>
            </w:r>
          </w:p>
        </w:tc>
        <w:tc>
          <w:tcPr>
            <w:tcW w:w="628"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1</w:t>
            </w:r>
          </w:p>
        </w:tc>
        <w:tc>
          <w:tcPr>
            <w:tcW w:w="50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71</w:t>
            </w:r>
          </w:p>
        </w:tc>
        <w:tc>
          <w:tcPr>
            <w:tcW w:w="49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58</w:t>
            </w:r>
          </w:p>
        </w:tc>
        <w:tc>
          <w:tcPr>
            <w:tcW w:w="705" w:type="pct"/>
            <w:shd w:val="clear" w:color="auto" w:fill="FFFFFF"/>
            <w:vAlign w:val="center"/>
          </w:tcPr>
          <w:p w:rsidR="00556468" w:rsidRPr="00556468" w:rsidRDefault="00556468" w:rsidP="00E15BB6">
            <w:pPr>
              <w:pBdr>
                <w:top w:val="nil"/>
                <w:left w:val="nil"/>
                <w:bottom w:val="nil"/>
                <w:right w:val="nil"/>
                <w:between w:val="nil"/>
              </w:pBdr>
              <w:jc w:val="center"/>
              <w:rPr>
                <w:sz w:val="24"/>
                <w:szCs w:val="24"/>
              </w:rPr>
            </w:pPr>
            <w:r w:rsidRPr="00556468">
              <w:rPr>
                <w:sz w:val="24"/>
                <w:szCs w:val="24"/>
              </w:rPr>
              <w:t>2940</w:t>
            </w:r>
          </w:p>
        </w:tc>
      </w:tr>
    </w:tbl>
    <w:p w:rsidR="00556468" w:rsidRDefault="00556468" w:rsidP="00556468">
      <w:pPr>
        <w:widowControl w:val="0"/>
        <w:pBdr>
          <w:top w:val="nil"/>
          <w:left w:val="nil"/>
          <w:bottom w:val="nil"/>
          <w:right w:val="nil"/>
          <w:between w:val="nil"/>
        </w:pBdr>
        <w:spacing w:before="120"/>
        <w:jc w:val="both"/>
        <w:rPr>
          <w:color w:val="000000"/>
          <w:sz w:val="20"/>
          <w:szCs w:val="20"/>
        </w:rPr>
      </w:pPr>
      <w:r>
        <w:rPr>
          <w:color w:val="000000"/>
          <w:sz w:val="20"/>
          <w:szCs w:val="20"/>
        </w:rPr>
        <w:t>EG (Estudante de Graduação); EGV (Estudante Graduação Vulnerável); EPGV (Estudante de Pós-graduação Vulnerável); SER (Servidor); TER (Terceirizado).</w:t>
      </w:r>
    </w:p>
    <w:p w:rsidR="00556468" w:rsidRPr="00556468" w:rsidRDefault="00556468" w:rsidP="00556468">
      <w:pPr>
        <w:widowControl w:val="0"/>
        <w:pBdr>
          <w:top w:val="nil"/>
          <w:left w:val="nil"/>
          <w:bottom w:val="nil"/>
          <w:right w:val="nil"/>
          <w:between w:val="nil"/>
        </w:pBdr>
        <w:spacing w:before="120" w:line="360" w:lineRule="auto"/>
        <w:jc w:val="both"/>
        <w:rPr>
          <w:color w:val="000000"/>
          <w:sz w:val="24"/>
          <w:szCs w:val="24"/>
        </w:rPr>
      </w:pPr>
      <w:r>
        <w:rPr>
          <w:color w:val="000000"/>
        </w:rPr>
        <w:lastRenderedPageBreak/>
        <w:t xml:space="preserve">- </w:t>
      </w:r>
      <w:r w:rsidRPr="00556468">
        <w:rPr>
          <w:color w:val="000000"/>
          <w:sz w:val="24"/>
          <w:szCs w:val="24"/>
        </w:rPr>
        <w:t xml:space="preserve">As ações relacionadas à </w:t>
      </w:r>
      <w:r w:rsidRPr="00556468">
        <w:rPr>
          <w:b/>
          <w:color w:val="000000"/>
          <w:sz w:val="24"/>
          <w:szCs w:val="24"/>
        </w:rPr>
        <w:t>Saúde da Mulher:</w:t>
      </w:r>
      <w:r w:rsidRPr="00556468">
        <w:rPr>
          <w:color w:val="000000"/>
          <w:sz w:val="24"/>
          <w:szCs w:val="24"/>
        </w:rPr>
        <w:t xml:space="preserve"> Os atendimentos </w:t>
      </w:r>
      <w:r w:rsidRPr="00556468">
        <w:rPr>
          <w:sz w:val="24"/>
          <w:szCs w:val="24"/>
        </w:rPr>
        <w:t>foram</w:t>
      </w:r>
      <w:r w:rsidRPr="00556468">
        <w:rPr>
          <w:color w:val="000000"/>
          <w:sz w:val="24"/>
          <w:szCs w:val="24"/>
        </w:rPr>
        <w:t xml:space="preserve"> realizados no espaço onde funciona o NSM. Durante alguns dias de atendimento contamos também com colaboração mútua dos alunos do curso de medicina, que desenvolvem parte das disciplinas obrigatórias na área de ginecologia/obstetrícia através de atendimentos à comunidade, acompanhados do </w:t>
      </w:r>
      <w:r w:rsidRPr="00556468">
        <w:rPr>
          <w:sz w:val="24"/>
          <w:szCs w:val="24"/>
        </w:rPr>
        <w:t>médico</w:t>
      </w:r>
      <w:r w:rsidRPr="00556468">
        <w:rPr>
          <w:color w:val="000000"/>
          <w:sz w:val="24"/>
          <w:szCs w:val="24"/>
        </w:rPr>
        <w:t xml:space="preserve"> ginecologista. Abaixo, na Tabela </w:t>
      </w:r>
      <w:r>
        <w:rPr>
          <w:color w:val="000000"/>
          <w:sz w:val="24"/>
          <w:szCs w:val="24"/>
        </w:rPr>
        <w:t>2</w:t>
      </w:r>
      <w:r w:rsidRPr="00556468">
        <w:rPr>
          <w:color w:val="000000"/>
          <w:sz w:val="24"/>
          <w:szCs w:val="24"/>
        </w:rPr>
        <w:t xml:space="preserve">, listamos o número de atendimentos realizados durante o ano de 2022. </w:t>
      </w:r>
    </w:p>
    <w:p w:rsidR="00556468" w:rsidRPr="00556468" w:rsidRDefault="00556468" w:rsidP="00556468">
      <w:pPr>
        <w:pBdr>
          <w:top w:val="nil"/>
          <w:left w:val="nil"/>
          <w:bottom w:val="nil"/>
          <w:right w:val="nil"/>
          <w:between w:val="nil"/>
        </w:pBdr>
        <w:shd w:val="clear" w:color="auto" w:fill="FFFFFF"/>
        <w:spacing w:line="360" w:lineRule="auto"/>
        <w:jc w:val="both"/>
        <w:rPr>
          <w:color w:val="000000"/>
          <w:sz w:val="24"/>
          <w:szCs w:val="24"/>
        </w:rPr>
      </w:pPr>
      <w:r w:rsidRPr="00556468">
        <w:rPr>
          <w:b/>
          <w:color w:val="000000"/>
          <w:sz w:val="24"/>
          <w:szCs w:val="24"/>
        </w:rPr>
        <w:t xml:space="preserve">Tabela </w:t>
      </w:r>
      <w:r>
        <w:rPr>
          <w:b/>
          <w:color w:val="000000"/>
          <w:sz w:val="24"/>
          <w:szCs w:val="24"/>
        </w:rPr>
        <w:t>2</w:t>
      </w:r>
      <w:r w:rsidRPr="00556468">
        <w:rPr>
          <w:color w:val="000000"/>
          <w:sz w:val="24"/>
          <w:szCs w:val="24"/>
        </w:rPr>
        <w:t>. Número de atendimentos realizados para a Assistência à Saúde da Mulher da Coordenadoria de Saúde</w:t>
      </w:r>
      <w:r>
        <w:rPr>
          <w:color w:val="000000"/>
          <w:sz w:val="24"/>
          <w:szCs w:val="24"/>
        </w:rPr>
        <w:t>/PRAEC</w:t>
      </w:r>
      <w:r w:rsidRPr="00556468">
        <w:rPr>
          <w:color w:val="000000"/>
          <w:sz w:val="24"/>
          <w:szCs w:val="24"/>
        </w:rPr>
        <w:t xml:space="preserve">, durante o ano de 2022. </w:t>
      </w:r>
    </w:p>
    <w:tbl>
      <w:tblPr>
        <w:tblW w:w="5000" w:type="pct"/>
        <w:tblBorders>
          <w:top w:val="single" w:sz="4" w:space="0" w:color="000000"/>
          <w:bottom w:val="single" w:sz="4" w:space="0" w:color="000000"/>
          <w:insideH w:val="single" w:sz="4" w:space="0" w:color="000000"/>
        </w:tblBorders>
        <w:tblLook w:val="0400"/>
      </w:tblPr>
      <w:tblGrid>
        <w:gridCol w:w="2007"/>
        <w:gridCol w:w="1082"/>
        <w:gridCol w:w="1100"/>
        <w:gridCol w:w="889"/>
        <w:gridCol w:w="1327"/>
        <w:gridCol w:w="1029"/>
        <w:gridCol w:w="994"/>
        <w:gridCol w:w="1429"/>
      </w:tblGrid>
      <w:tr w:rsidR="00556468" w:rsidRPr="00556468" w:rsidTr="00556468">
        <w:trPr>
          <w:trHeight w:val="494"/>
        </w:trPr>
        <w:tc>
          <w:tcPr>
            <w:tcW w:w="1018" w:type="pct"/>
            <w:shd w:val="clear" w:color="auto" w:fill="FFFFFF"/>
            <w:vAlign w:val="center"/>
          </w:tcPr>
          <w:p w:rsidR="00556468" w:rsidRPr="00556468" w:rsidRDefault="00556468" w:rsidP="00556468">
            <w:pPr>
              <w:spacing w:line="360" w:lineRule="auto"/>
              <w:rPr>
                <w:sz w:val="24"/>
                <w:szCs w:val="24"/>
              </w:rPr>
            </w:pPr>
          </w:p>
        </w:tc>
        <w:tc>
          <w:tcPr>
            <w:tcW w:w="549"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EG</w:t>
            </w:r>
          </w:p>
        </w:tc>
        <w:tc>
          <w:tcPr>
            <w:tcW w:w="558"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EGV</w:t>
            </w:r>
          </w:p>
        </w:tc>
        <w:tc>
          <w:tcPr>
            <w:tcW w:w="451"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EPG</w:t>
            </w:r>
          </w:p>
        </w:tc>
        <w:tc>
          <w:tcPr>
            <w:tcW w:w="673"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EPGV</w:t>
            </w:r>
          </w:p>
        </w:tc>
        <w:tc>
          <w:tcPr>
            <w:tcW w:w="522"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SER</w:t>
            </w:r>
          </w:p>
        </w:tc>
        <w:tc>
          <w:tcPr>
            <w:tcW w:w="504"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TER</w:t>
            </w:r>
          </w:p>
        </w:tc>
        <w:tc>
          <w:tcPr>
            <w:tcW w:w="726"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TOTAL</w:t>
            </w:r>
          </w:p>
        </w:tc>
      </w:tr>
      <w:tr w:rsidR="00556468" w:rsidRPr="00556468" w:rsidTr="00556468">
        <w:trPr>
          <w:trHeight w:val="471"/>
        </w:trPr>
        <w:tc>
          <w:tcPr>
            <w:tcW w:w="1018" w:type="pct"/>
            <w:shd w:val="clear" w:color="auto" w:fill="FFFFFF"/>
            <w:vAlign w:val="center"/>
          </w:tcPr>
          <w:p w:rsidR="00556468" w:rsidRPr="00556468" w:rsidRDefault="00556468" w:rsidP="00556468">
            <w:pPr>
              <w:pBdr>
                <w:top w:val="nil"/>
                <w:left w:val="nil"/>
                <w:bottom w:val="nil"/>
                <w:right w:val="nil"/>
                <w:between w:val="nil"/>
              </w:pBdr>
              <w:spacing w:line="360" w:lineRule="auto"/>
              <w:rPr>
                <w:sz w:val="24"/>
                <w:szCs w:val="24"/>
              </w:rPr>
            </w:pPr>
            <w:r w:rsidRPr="00556468">
              <w:rPr>
                <w:sz w:val="24"/>
                <w:szCs w:val="24"/>
              </w:rPr>
              <w:t>Atendimentos</w:t>
            </w:r>
          </w:p>
        </w:tc>
        <w:tc>
          <w:tcPr>
            <w:tcW w:w="549"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454</w:t>
            </w:r>
          </w:p>
        </w:tc>
        <w:tc>
          <w:tcPr>
            <w:tcW w:w="558"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38</w:t>
            </w:r>
          </w:p>
        </w:tc>
        <w:tc>
          <w:tcPr>
            <w:tcW w:w="451"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197</w:t>
            </w:r>
          </w:p>
        </w:tc>
        <w:tc>
          <w:tcPr>
            <w:tcW w:w="673"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1</w:t>
            </w:r>
          </w:p>
        </w:tc>
        <w:tc>
          <w:tcPr>
            <w:tcW w:w="522"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19</w:t>
            </w:r>
          </w:p>
        </w:tc>
        <w:tc>
          <w:tcPr>
            <w:tcW w:w="504"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71</w:t>
            </w:r>
          </w:p>
        </w:tc>
        <w:tc>
          <w:tcPr>
            <w:tcW w:w="726" w:type="pct"/>
            <w:shd w:val="clear" w:color="auto" w:fill="FFFFFF"/>
            <w:vAlign w:val="center"/>
          </w:tcPr>
          <w:p w:rsidR="00556468" w:rsidRPr="00556468" w:rsidRDefault="00556468" w:rsidP="00556468">
            <w:pPr>
              <w:pBdr>
                <w:top w:val="nil"/>
                <w:left w:val="nil"/>
                <w:bottom w:val="nil"/>
                <w:right w:val="nil"/>
                <w:between w:val="nil"/>
              </w:pBdr>
              <w:spacing w:line="360" w:lineRule="auto"/>
              <w:jc w:val="center"/>
              <w:rPr>
                <w:sz w:val="24"/>
                <w:szCs w:val="24"/>
              </w:rPr>
            </w:pPr>
            <w:r w:rsidRPr="00556468">
              <w:rPr>
                <w:sz w:val="24"/>
                <w:szCs w:val="24"/>
              </w:rPr>
              <w:t>780</w:t>
            </w:r>
          </w:p>
        </w:tc>
      </w:tr>
    </w:tbl>
    <w:p w:rsidR="00556468" w:rsidRPr="00556468" w:rsidRDefault="00556468" w:rsidP="00556468">
      <w:pPr>
        <w:widowControl w:val="0"/>
        <w:pBdr>
          <w:top w:val="nil"/>
          <w:left w:val="nil"/>
          <w:bottom w:val="nil"/>
          <w:right w:val="nil"/>
          <w:between w:val="nil"/>
        </w:pBdr>
        <w:spacing w:before="120"/>
        <w:jc w:val="both"/>
        <w:rPr>
          <w:color w:val="000000"/>
          <w:sz w:val="20"/>
          <w:szCs w:val="20"/>
        </w:rPr>
      </w:pPr>
      <w:r>
        <w:rPr>
          <w:color w:val="000000"/>
          <w:sz w:val="20"/>
          <w:szCs w:val="20"/>
        </w:rPr>
        <w:t>EG (Estudante de Graduação); EGV (Estudante Graduação Vulnerável); EPGV (Estudante de Pós-graduação Vulnerável); SER (Servidor); TER (Terceirizado).</w:t>
      </w:r>
    </w:p>
    <w:p w:rsidR="00556468" w:rsidRPr="00AB466D" w:rsidRDefault="00556468" w:rsidP="00AB466D">
      <w:pPr>
        <w:pBdr>
          <w:top w:val="nil"/>
          <w:left w:val="nil"/>
          <w:bottom w:val="nil"/>
          <w:right w:val="nil"/>
          <w:between w:val="nil"/>
        </w:pBdr>
        <w:shd w:val="clear" w:color="auto" w:fill="FFFFFF"/>
        <w:spacing w:before="280" w:after="280" w:line="360" w:lineRule="auto"/>
        <w:jc w:val="both"/>
        <w:rPr>
          <w:color w:val="000000"/>
          <w:sz w:val="24"/>
          <w:szCs w:val="24"/>
        </w:rPr>
      </w:pPr>
      <w:r w:rsidRPr="00AB466D">
        <w:rPr>
          <w:color w:val="000000"/>
          <w:sz w:val="24"/>
          <w:szCs w:val="24"/>
        </w:rPr>
        <w:t xml:space="preserve">- A </w:t>
      </w:r>
      <w:r w:rsidRPr="00AB466D">
        <w:rPr>
          <w:b/>
          <w:color w:val="000000"/>
          <w:sz w:val="24"/>
          <w:szCs w:val="24"/>
        </w:rPr>
        <w:t>Clínica Odontológica:</w:t>
      </w:r>
      <w:r w:rsidRPr="00AB466D">
        <w:rPr>
          <w:color w:val="000000"/>
          <w:sz w:val="24"/>
          <w:szCs w:val="24"/>
        </w:rPr>
        <w:t xml:space="preserve"> conta com </w:t>
      </w:r>
      <w:r w:rsidRPr="00AB466D">
        <w:rPr>
          <w:sz w:val="24"/>
          <w:szCs w:val="24"/>
        </w:rPr>
        <w:t>09 (</w:t>
      </w:r>
      <w:r w:rsidRPr="00AB466D">
        <w:rPr>
          <w:color w:val="000000"/>
          <w:sz w:val="24"/>
          <w:szCs w:val="24"/>
        </w:rPr>
        <w:t xml:space="preserve">nove) consultórios, para atendimento de atenção primária. Os atendimentos no ano de 2022 aconteceram entre os meses de março e junho, retornando em agosto e finalizando em </w:t>
      </w:r>
      <w:r w:rsidRPr="00AB466D">
        <w:rPr>
          <w:sz w:val="24"/>
          <w:szCs w:val="24"/>
        </w:rPr>
        <w:t>novembro</w:t>
      </w:r>
      <w:r w:rsidRPr="00AB466D">
        <w:rPr>
          <w:color w:val="000000"/>
          <w:sz w:val="24"/>
          <w:szCs w:val="24"/>
        </w:rPr>
        <w:t xml:space="preserve">, seguindo o calendário dos estudantes e professores supervisores do Unilavras. Abaixo, temos a Tabela </w:t>
      </w:r>
      <w:r w:rsidR="00AB466D" w:rsidRPr="00AB466D">
        <w:rPr>
          <w:color w:val="000000"/>
          <w:sz w:val="24"/>
          <w:szCs w:val="24"/>
        </w:rPr>
        <w:t>3</w:t>
      </w:r>
      <w:r w:rsidRPr="00AB466D">
        <w:rPr>
          <w:color w:val="000000"/>
          <w:sz w:val="24"/>
          <w:szCs w:val="24"/>
        </w:rPr>
        <w:t>, ilustrando o número de atendimentos realizados pela clínica Odontológica durante o ano de 2022.</w:t>
      </w:r>
    </w:p>
    <w:p w:rsidR="00556468" w:rsidRPr="00AB466D" w:rsidRDefault="00556468" w:rsidP="00AB466D">
      <w:pPr>
        <w:pBdr>
          <w:top w:val="nil"/>
          <w:left w:val="nil"/>
          <w:bottom w:val="nil"/>
          <w:right w:val="nil"/>
          <w:between w:val="nil"/>
        </w:pBdr>
        <w:shd w:val="clear" w:color="auto" w:fill="FFFFFF"/>
        <w:spacing w:line="360" w:lineRule="auto"/>
        <w:jc w:val="both"/>
        <w:rPr>
          <w:color w:val="000000"/>
          <w:sz w:val="24"/>
          <w:szCs w:val="24"/>
        </w:rPr>
      </w:pPr>
      <w:r w:rsidRPr="00AB466D">
        <w:rPr>
          <w:b/>
          <w:color w:val="000000"/>
          <w:sz w:val="24"/>
          <w:szCs w:val="24"/>
        </w:rPr>
        <w:t xml:space="preserve">Tabela </w:t>
      </w:r>
      <w:r w:rsidR="00AB466D">
        <w:rPr>
          <w:b/>
          <w:color w:val="000000"/>
          <w:sz w:val="24"/>
          <w:szCs w:val="24"/>
        </w:rPr>
        <w:t>3</w:t>
      </w:r>
      <w:r w:rsidRPr="00AB466D">
        <w:rPr>
          <w:color w:val="000000"/>
          <w:sz w:val="24"/>
          <w:szCs w:val="24"/>
        </w:rPr>
        <w:t xml:space="preserve">. </w:t>
      </w:r>
      <w:r w:rsidR="00AB466D">
        <w:rPr>
          <w:color w:val="000000"/>
          <w:sz w:val="24"/>
          <w:szCs w:val="24"/>
        </w:rPr>
        <w:t xml:space="preserve"> </w:t>
      </w:r>
      <w:r w:rsidRPr="00AB466D">
        <w:rPr>
          <w:color w:val="000000"/>
          <w:sz w:val="24"/>
          <w:szCs w:val="24"/>
        </w:rPr>
        <w:t xml:space="preserve">Número de atendimentos realizados na clínica </w:t>
      </w:r>
      <w:r w:rsidRPr="00AB466D">
        <w:rPr>
          <w:sz w:val="24"/>
          <w:szCs w:val="24"/>
        </w:rPr>
        <w:t>odontológica</w:t>
      </w:r>
      <w:r w:rsidRPr="00AB466D">
        <w:rPr>
          <w:color w:val="000000"/>
          <w:sz w:val="24"/>
          <w:szCs w:val="24"/>
        </w:rPr>
        <w:t xml:space="preserve"> da Coordenadoria de Saúde</w:t>
      </w:r>
      <w:r w:rsidR="00AB466D">
        <w:rPr>
          <w:color w:val="000000"/>
          <w:sz w:val="24"/>
          <w:szCs w:val="24"/>
        </w:rPr>
        <w:t>/PRAEC</w:t>
      </w:r>
      <w:r w:rsidRPr="00AB466D">
        <w:rPr>
          <w:color w:val="000000"/>
          <w:sz w:val="24"/>
          <w:szCs w:val="24"/>
        </w:rPr>
        <w:t xml:space="preserve">, durante o ano de 2022. </w:t>
      </w:r>
    </w:p>
    <w:tbl>
      <w:tblPr>
        <w:tblW w:w="5000" w:type="pct"/>
        <w:tblBorders>
          <w:top w:val="single" w:sz="4" w:space="0" w:color="000000"/>
          <w:bottom w:val="single" w:sz="4" w:space="0" w:color="000000"/>
        </w:tblBorders>
        <w:tblLook w:val="0400"/>
      </w:tblPr>
      <w:tblGrid>
        <w:gridCol w:w="1824"/>
        <w:gridCol w:w="771"/>
        <w:gridCol w:w="931"/>
        <w:gridCol w:w="789"/>
        <w:gridCol w:w="1104"/>
        <w:gridCol w:w="895"/>
        <w:gridCol w:w="1122"/>
        <w:gridCol w:w="1053"/>
        <w:gridCol w:w="1368"/>
      </w:tblGrid>
      <w:tr w:rsidR="00AB466D" w:rsidRPr="00AB466D" w:rsidTr="00AB466D">
        <w:trPr>
          <w:trHeight w:val="550"/>
        </w:trPr>
        <w:tc>
          <w:tcPr>
            <w:tcW w:w="925" w:type="pct"/>
            <w:tcBorders>
              <w:top w:val="single" w:sz="4" w:space="0" w:color="000000"/>
              <w:bottom w:val="single" w:sz="4" w:space="0" w:color="000000"/>
            </w:tcBorders>
            <w:shd w:val="clear" w:color="auto" w:fill="FFFFFF"/>
            <w:vAlign w:val="center"/>
          </w:tcPr>
          <w:p w:rsidR="00556468" w:rsidRPr="00AB466D" w:rsidRDefault="00556468" w:rsidP="00AB466D">
            <w:pPr>
              <w:spacing w:line="360" w:lineRule="auto"/>
              <w:jc w:val="center"/>
              <w:rPr>
                <w:sz w:val="24"/>
                <w:szCs w:val="24"/>
              </w:rPr>
            </w:pPr>
          </w:p>
        </w:tc>
        <w:tc>
          <w:tcPr>
            <w:tcW w:w="391" w:type="pct"/>
            <w:tcBorders>
              <w:top w:val="single" w:sz="4" w:space="0" w:color="000000"/>
              <w:bottom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EG</w:t>
            </w:r>
          </w:p>
        </w:tc>
        <w:tc>
          <w:tcPr>
            <w:tcW w:w="472" w:type="pct"/>
            <w:tcBorders>
              <w:top w:val="single" w:sz="4" w:space="0" w:color="000000"/>
              <w:bottom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EGV</w:t>
            </w:r>
          </w:p>
        </w:tc>
        <w:tc>
          <w:tcPr>
            <w:tcW w:w="400" w:type="pct"/>
            <w:tcBorders>
              <w:top w:val="single" w:sz="4" w:space="0" w:color="000000"/>
              <w:bottom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EPG</w:t>
            </w:r>
          </w:p>
        </w:tc>
        <w:tc>
          <w:tcPr>
            <w:tcW w:w="560" w:type="pct"/>
            <w:tcBorders>
              <w:top w:val="single" w:sz="4" w:space="0" w:color="000000"/>
              <w:bottom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EPGV</w:t>
            </w:r>
          </w:p>
        </w:tc>
        <w:tc>
          <w:tcPr>
            <w:tcW w:w="454" w:type="pct"/>
            <w:tcBorders>
              <w:top w:val="single" w:sz="4" w:space="0" w:color="000000"/>
              <w:bottom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SER</w:t>
            </w:r>
          </w:p>
        </w:tc>
        <w:tc>
          <w:tcPr>
            <w:tcW w:w="569" w:type="pct"/>
            <w:tcBorders>
              <w:top w:val="single" w:sz="4" w:space="0" w:color="000000"/>
              <w:bottom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TER</w:t>
            </w:r>
          </w:p>
        </w:tc>
        <w:tc>
          <w:tcPr>
            <w:tcW w:w="534" w:type="pct"/>
            <w:tcBorders>
              <w:top w:val="single" w:sz="4" w:space="0" w:color="000000"/>
              <w:bottom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Outros</w:t>
            </w:r>
          </w:p>
        </w:tc>
        <w:tc>
          <w:tcPr>
            <w:tcW w:w="694" w:type="pct"/>
            <w:tcBorders>
              <w:top w:val="single" w:sz="4" w:space="0" w:color="000000"/>
              <w:bottom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TOTAL</w:t>
            </w:r>
          </w:p>
        </w:tc>
      </w:tr>
      <w:tr w:rsidR="00AB466D" w:rsidRPr="00AB466D" w:rsidTr="00AB466D">
        <w:trPr>
          <w:trHeight w:val="524"/>
        </w:trPr>
        <w:tc>
          <w:tcPr>
            <w:tcW w:w="925"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rPr>
                <w:sz w:val="24"/>
                <w:szCs w:val="24"/>
              </w:rPr>
            </w:pPr>
            <w:r w:rsidRPr="00AB466D">
              <w:rPr>
                <w:sz w:val="24"/>
                <w:szCs w:val="24"/>
              </w:rPr>
              <w:t>Atendimentos</w:t>
            </w:r>
          </w:p>
        </w:tc>
        <w:tc>
          <w:tcPr>
            <w:tcW w:w="391"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454</w:t>
            </w:r>
          </w:p>
        </w:tc>
        <w:tc>
          <w:tcPr>
            <w:tcW w:w="472"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437</w:t>
            </w:r>
          </w:p>
        </w:tc>
        <w:tc>
          <w:tcPr>
            <w:tcW w:w="400"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260</w:t>
            </w:r>
          </w:p>
        </w:tc>
        <w:tc>
          <w:tcPr>
            <w:tcW w:w="560"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12</w:t>
            </w:r>
          </w:p>
        </w:tc>
        <w:tc>
          <w:tcPr>
            <w:tcW w:w="454"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146</w:t>
            </w:r>
          </w:p>
        </w:tc>
        <w:tc>
          <w:tcPr>
            <w:tcW w:w="569"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195</w:t>
            </w:r>
          </w:p>
        </w:tc>
        <w:tc>
          <w:tcPr>
            <w:tcW w:w="534"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4</w:t>
            </w:r>
          </w:p>
        </w:tc>
        <w:tc>
          <w:tcPr>
            <w:tcW w:w="694" w:type="pct"/>
            <w:tcBorders>
              <w:top w:val="single" w:sz="4" w:space="0" w:color="000000"/>
            </w:tcBorders>
            <w:shd w:val="clear" w:color="auto" w:fill="FFFFFF"/>
            <w:vAlign w:val="center"/>
          </w:tcPr>
          <w:p w:rsidR="00556468" w:rsidRPr="00AB466D" w:rsidRDefault="00556468" w:rsidP="00AB466D">
            <w:pPr>
              <w:pBdr>
                <w:top w:val="nil"/>
                <w:left w:val="nil"/>
                <w:bottom w:val="nil"/>
                <w:right w:val="nil"/>
                <w:between w:val="nil"/>
              </w:pBdr>
              <w:spacing w:line="360" w:lineRule="auto"/>
              <w:jc w:val="center"/>
              <w:rPr>
                <w:sz w:val="24"/>
                <w:szCs w:val="24"/>
              </w:rPr>
            </w:pPr>
            <w:r w:rsidRPr="00AB466D">
              <w:rPr>
                <w:sz w:val="24"/>
                <w:szCs w:val="24"/>
              </w:rPr>
              <w:t>1508</w:t>
            </w:r>
          </w:p>
        </w:tc>
      </w:tr>
    </w:tbl>
    <w:p w:rsidR="00556468" w:rsidRDefault="00556468" w:rsidP="00556468">
      <w:pPr>
        <w:widowControl w:val="0"/>
        <w:pBdr>
          <w:top w:val="nil"/>
          <w:left w:val="nil"/>
          <w:bottom w:val="nil"/>
          <w:right w:val="nil"/>
          <w:between w:val="nil"/>
        </w:pBdr>
        <w:spacing w:before="120"/>
        <w:jc w:val="both"/>
        <w:rPr>
          <w:color w:val="000000"/>
          <w:sz w:val="20"/>
          <w:szCs w:val="20"/>
        </w:rPr>
      </w:pPr>
      <w:r>
        <w:rPr>
          <w:color w:val="000000"/>
          <w:sz w:val="20"/>
          <w:szCs w:val="20"/>
        </w:rPr>
        <w:t>EG (Estudante de Graduação); EGV (Estudante Graduação Vulnerável); EPGV (Estudante de Pós-graduação Vulnerável); SER (Servidor); TER (Terceirizado).</w:t>
      </w:r>
    </w:p>
    <w:p w:rsidR="00556468" w:rsidRPr="00AB466D" w:rsidRDefault="00556468" w:rsidP="00AB466D">
      <w:pPr>
        <w:pBdr>
          <w:top w:val="nil"/>
          <w:left w:val="nil"/>
          <w:bottom w:val="nil"/>
          <w:right w:val="nil"/>
          <w:between w:val="nil"/>
        </w:pBdr>
        <w:shd w:val="clear" w:color="auto" w:fill="FFFFFF"/>
        <w:spacing w:before="280" w:after="280" w:line="360" w:lineRule="auto"/>
        <w:jc w:val="both"/>
        <w:rPr>
          <w:color w:val="000000"/>
          <w:sz w:val="24"/>
          <w:szCs w:val="24"/>
        </w:rPr>
      </w:pPr>
      <w:r w:rsidRPr="00AB466D">
        <w:rPr>
          <w:color w:val="000000"/>
          <w:sz w:val="24"/>
          <w:szCs w:val="24"/>
        </w:rPr>
        <w:t xml:space="preserve">- O </w:t>
      </w:r>
      <w:r w:rsidRPr="00AB466D">
        <w:rPr>
          <w:b/>
          <w:color w:val="000000"/>
          <w:sz w:val="24"/>
          <w:szCs w:val="24"/>
        </w:rPr>
        <w:t>Ambulatório:</w:t>
      </w:r>
      <w:r w:rsidRPr="00AB466D">
        <w:rPr>
          <w:color w:val="000000"/>
          <w:sz w:val="24"/>
          <w:szCs w:val="24"/>
        </w:rPr>
        <w:t xml:space="preserve"> </w:t>
      </w:r>
      <w:r w:rsidRPr="00AB466D">
        <w:rPr>
          <w:sz w:val="24"/>
          <w:szCs w:val="24"/>
        </w:rPr>
        <w:t>n</w:t>
      </w:r>
      <w:r w:rsidRPr="00AB466D">
        <w:rPr>
          <w:color w:val="000000"/>
          <w:sz w:val="24"/>
          <w:szCs w:val="24"/>
        </w:rPr>
        <w:t xml:space="preserve">o ano de 2022, atuou em apoio às coletas de amostras de pacientes suspeitos de COVID-19 para envio ao laboratório para realização de RT-qPCR. Além dessa atividade pontual, foram realizados atendimentos médicos, de enfermagem, procedimentos de enfermagem e orientação e testagem de infecções sexualmente transmissíveis (IST’s) em cinco oportunidades durante o ano, descritos na Tabela </w:t>
      </w:r>
      <w:r w:rsidR="00AB466D">
        <w:rPr>
          <w:color w:val="000000"/>
          <w:sz w:val="24"/>
          <w:szCs w:val="24"/>
        </w:rPr>
        <w:t>4</w:t>
      </w:r>
      <w:r w:rsidRPr="00AB466D">
        <w:rPr>
          <w:color w:val="000000"/>
          <w:sz w:val="24"/>
          <w:szCs w:val="24"/>
        </w:rPr>
        <w:t xml:space="preserve">, abaixo: </w:t>
      </w:r>
    </w:p>
    <w:p w:rsidR="00556468" w:rsidRPr="00AB466D" w:rsidRDefault="00556468" w:rsidP="00AB466D">
      <w:pPr>
        <w:pBdr>
          <w:top w:val="nil"/>
          <w:left w:val="nil"/>
          <w:bottom w:val="nil"/>
          <w:right w:val="nil"/>
          <w:between w:val="nil"/>
        </w:pBdr>
        <w:shd w:val="clear" w:color="auto" w:fill="FFFFFF"/>
        <w:spacing w:line="360" w:lineRule="auto"/>
        <w:ind w:right="16"/>
        <w:jc w:val="both"/>
        <w:rPr>
          <w:color w:val="000000"/>
          <w:sz w:val="24"/>
          <w:szCs w:val="24"/>
        </w:rPr>
      </w:pPr>
      <w:r w:rsidRPr="00AB466D">
        <w:rPr>
          <w:b/>
          <w:color w:val="000000"/>
          <w:sz w:val="24"/>
          <w:szCs w:val="24"/>
        </w:rPr>
        <w:lastRenderedPageBreak/>
        <w:t xml:space="preserve">Tabela </w:t>
      </w:r>
      <w:r w:rsidR="00AB466D">
        <w:rPr>
          <w:b/>
          <w:color w:val="000000"/>
          <w:sz w:val="24"/>
          <w:szCs w:val="24"/>
        </w:rPr>
        <w:t>4</w:t>
      </w:r>
      <w:r w:rsidRPr="00AB466D">
        <w:rPr>
          <w:color w:val="000000"/>
          <w:sz w:val="24"/>
          <w:szCs w:val="24"/>
        </w:rPr>
        <w:t>. Número de atendimentos médicos</w:t>
      </w:r>
      <w:r w:rsidRPr="00AB466D">
        <w:rPr>
          <w:sz w:val="24"/>
          <w:szCs w:val="24"/>
        </w:rPr>
        <w:t xml:space="preserve">, de enfermagem e coleta de amostras para teste de Covid e testes IST’s, </w:t>
      </w:r>
      <w:r w:rsidRPr="00AB466D">
        <w:rPr>
          <w:color w:val="000000"/>
          <w:sz w:val="24"/>
          <w:szCs w:val="24"/>
        </w:rPr>
        <w:t>realizados no Ambulatório da Coordenadoria de Saúde</w:t>
      </w:r>
      <w:r w:rsidR="00AB466D">
        <w:rPr>
          <w:color w:val="000000"/>
          <w:sz w:val="24"/>
          <w:szCs w:val="24"/>
        </w:rPr>
        <w:t>/PRAEC</w:t>
      </w:r>
      <w:r w:rsidRPr="00AB466D">
        <w:rPr>
          <w:color w:val="000000"/>
          <w:sz w:val="24"/>
          <w:szCs w:val="24"/>
        </w:rPr>
        <w:t xml:space="preserve"> durante o ano de 2022. </w:t>
      </w:r>
    </w:p>
    <w:tbl>
      <w:tblPr>
        <w:tblW w:w="5000" w:type="pct"/>
        <w:tblBorders>
          <w:top w:val="single" w:sz="4" w:space="0" w:color="000000"/>
          <w:bottom w:val="single" w:sz="4" w:space="0" w:color="000000"/>
        </w:tblBorders>
        <w:tblLook w:val="0400"/>
      </w:tblPr>
      <w:tblGrid>
        <w:gridCol w:w="1755"/>
        <w:gridCol w:w="940"/>
        <w:gridCol w:w="852"/>
        <w:gridCol w:w="905"/>
        <w:gridCol w:w="1011"/>
        <w:gridCol w:w="781"/>
        <w:gridCol w:w="1153"/>
        <w:gridCol w:w="1082"/>
        <w:gridCol w:w="1378"/>
      </w:tblGrid>
      <w:tr w:rsidR="00AB466D" w:rsidRPr="00AB466D" w:rsidTr="00AB466D">
        <w:trPr>
          <w:trHeight w:val="276"/>
        </w:trPr>
        <w:tc>
          <w:tcPr>
            <w:tcW w:w="890" w:type="pct"/>
            <w:tcBorders>
              <w:top w:val="single" w:sz="4" w:space="0" w:color="000000"/>
              <w:bottom w:val="single" w:sz="4" w:space="0" w:color="000000"/>
            </w:tcBorders>
            <w:shd w:val="clear" w:color="auto" w:fill="FFFFFF"/>
            <w:vAlign w:val="center"/>
          </w:tcPr>
          <w:p w:rsidR="00556468" w:rsidRPr="00AB466D" w:rsidRDefault="00556468" w:rsidP="00E15BB6">
            <w:pPr>
              <w:rPr>
                <w:sz w:val="24"/>
                <w:szCs w:val="24"/>
              </w:rPr>
            </w:pPr>
          </w:p>
        </w:tc>
        <w:tc>
          <w:tcPr>
            <w:tcW w:w="477" w:type="pct"/>
            <w:tcBorders>
              <w:top w:val="single" w:sz="4" w:space="0" w:color="000000"/>
              <w:bottom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EG</w:t>
            </w:r>
          </w:p>
        </w:tc>
        <w:tc>
          <w:tcPr>
            <w:tcW w:w="432" w:type="pct"/>
            <w:tcBorders>
              <w:top w:val="single" w:sz="4" w:space="0" w:color="000000"/>
              <w:bottom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EGV</w:t>
            </w:r>
          </w:p>
        </w:tc>
        <w:tc>
          <w:tcPr>
            <w:tcW w:w="459" w:type="pct"/>
            <w:tcBorders>
              <w:top w:val="single" w:sz="4" w:space="0" w:color="000000"/>
              <w:bottom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EPG</w:t>
            </w:r>
          </w:p>
        </w:tc>
        <w:tc>
          <w:tcPr>
            <w:tcW w:w="513" w:type="pct"/>
            <w:tcBorders>
              <w:top w:val="single" w:sz="4" w:space="0" w:color="000000"/>
              <w:bottom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EPGV</w:t>
            </w:r>
          </w:p>
        </w:tc>
        <w:tc>
          <w:tcPr>
            <w:tcW w:w="396" w:type="pct"/>
            <w:tcBorders>
              <w:top w:val="single" w:sz="4" w:space="0" w:color="000000"/>
              <w:bottom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SER</w:t>
            </w:r>
          </w:p>
        </w:tc>
        <w:tc>
          <w:tcPr>
            <w:tcW w:w="585" w:type="pct"/>
            <w:tcBorders>
              <w:top w:val="single" w:sz="4" w:space="0" w:color="000000"/>
              <w:bottom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TER</w:t>
            </w:r>
          </w:p>
        </w:tc>
        <w:tc>
          <w:tcPr>
            <w:tcW w:w="549" w:type="pct"/>
            <w:tcBorders>
              <w:top w:val="single" w:sz="4" w:space="0" w:color="000000"/>
              <w:bottom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Outros</w:t>
            </w:r>
          </w:p>
        </w:tc>
        <w:tc>
          <w:tcPr>
            <w:tcW w:w="701" w:type="pct"/>
            <w:tcBorders>
              <w:top w:val="single" w:sz="4" w:space="0" w:color="000000"/>
              <w:bottom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TOTAL</w:t>
            </w:r>
          </w:p>
        </w:tc>
      </w:tr>
      <w:tr w:rsidR="00AB466D" w:rsidRPr="00AB466D" w:rsidTr="00AB466D">
        <w:trPr>
          <w:trHeight w:val="263"/>
        </w:trPr>
        <w:tc>
          <w:tcPr>
            <w:tcW w:w="890"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rPr>
                <w:sz w:val="24"/>
                <w:szCs w:val="24"/>
              </w:rPr>
            </w:pPr>
            <w:r w:rsidRPr="00AB466D">
              <w:rPr>
                <w:sz w:val="24"/>
                <w:szCs w:val="24"/>
              </w:rPr>
              <w:t xml:space="preserve">Médicos </w:t>
            </w:r>
          </w:p>
        </w:tc>
        <w:tc>
          <w:tcPr>
            <w:tcW w:w="477"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1219</w:t>
            </w:r>
          </w:p>
        </w:tc>
        <w:tc>
          <w:tcPr>
            <w:tcW w:w="432"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410</w:t>
            </w:r>
          </w:p>
        </w:tc>
        <w:tc>
          <w:tcPr>
            <w:tcW w:w="459"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388</w:t>
            </w:r>
          </w:p>
        </w:tc>
        <w:tc>
          <w:tcPr>
            <w:tcW w:w="513"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4</w:t>
            </w:r>
          </w:p>
        </w:tc>
        <w:tc>
          <w:tcPr>
            <w:tcW w:w="396"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929</w:t>
            </w:r>
          </w:p>
        </w:tc>
        <w:tc>
          <w:tcPr>
            <w:tcW w:w="585"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509</w:t>
            </w:r>
          </w:p>
        </w:tc>
        <w:tc>
          <w:tcPr>
            <w:tcW w:w="549"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21</w:t>
            </w:r>
          </w:p>
        </w:tc>
        <w:tc>
          <w:tcPr>
            <w:tcW w:w="701" w:type="pct"/>
            <w:tcBorders>
              <w:top w:val="single" w:sz="4" w:space="0" w:color="000000"/>
            </w:tcBorders>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3480</w:t>
            </w:r>
          </w:p>
        </w:tc>
      </w:tr>
      <w:tr w:rsidR="00AB466D" w:rsidRPr="00AB466D" w:rsidTr="00AB466D">
        <w:trPr>
          <w:trHeight w:val="276"/>
        </w:trPr>
        <w:tc>
          <w:tcPr>
            <w:tcW w:w="890" w:type="pct"/>
            <w:shd w:val="clear" w:color="auto" w:fill="FFFFFF"/>
            <w:vAlign w:val="center"/>
          </w:tcPr>
          <w:p w:rsidR="00556468" w:rsidRPr="00AB466D" w:rsidRDefault="00556468" w:rsidP="00E15BB6">
            <w:pPr>
              <w:pBdr>
                <w:top w:val="nil"/>
                <w:left w:val="nil"/>
                <w:bottom w:val="nil"/>
                <w:right w:val="nil"/>
                <w:between w:val="nil"/>
              </w:pBdr>
              <w:rPr>
                <w:sz w:val="24"/>
                <w:szCs w:val="24"/>
              </w:rPr>
            </w:pPr>
            <w:r w:rsidRPr="00AB466D">
              <w:rPr>
                <w:sz w:val="24"/>
                <w:szCs w:val="24"/>
              </w:rPr>
              <w:t xml:space="preserve">Enfermagem </w:t>
            </w:r>
          </w:p>
        </w:tc>
        <w:tc>
          <w:tcPr>
            <w:tcW w:w="477"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129</w:t>
            </w:r>
          </w:p>
        </w:tc>
        <w:tc>
          <w:tcPr>
            <w:tcW w:w="432"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25</w:t>
            </w:r>
          </w:p>
        </w:tc>
        <w:tc>
          <w:tcPr>
            <w:tcW w:w="459"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23</w:t>
            </w:r>
          </w:p>
        </w:tc>
        <w:tc>
          <w:tcPr>
            <w:tcW w:w="513"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4</w:t>
            </w:r>
          </w:p>
        </w:tc>
        <w:tc>
          <w:tcPr>
            <w:tcW w:w="396"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78</w:t>
            </w:r>
          </w:p>
        </w:tc>
        <w:tc>
          <w:tcPr>
            <w:tcW w:w="585"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100</w:t>
            </w:r>
          </w:p>
        </w:tc>
        <w:tc>
          <w:tcPr>
            <w:tcW w:w="549"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11</w:t>
            </w:r>
          </w:p>
        </w:tc>
        <w:tc>
          <w:tcPr>
            <w:tcW w:w="701"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370</w:t>
            </w:r>
          </w:p>
        </w:tc>
      </w:tr>
      <w:tr w:rsidR="00AB466D" w:rsidRPr="00AB466D" w:rsidTr="00AB466D">
        <w:trPr>
          <w:trHeight w:val="276"/>
        </w:trPr>
        <w:tc>
          <w:tcPr>
            <w:tcW w:w="890" w:type="pct"/>
            <w:shd w:val="clear" w:color="auto" w:fill="FFFFFF"/>
            <w:vAlign w:val="center"/>
          </w:tcPr>
          <w:p w:rsidR="00556468" w:rsidRPr="00AB466D" w:rsidRDefault="00556468" w:rsidP="00E15BB6">
            <w:pPr>
              <w:pBdr>
                <w:top w:val="nil"/>
                <w:left w:val="nil"/>
                <w:bottom w:val="nil"/>
                <w:right w:val="nil"/>
                <w:between w:val="nil"/>
              </w:pBdr>
              <w:rPr>
                <w:sz w:val="24"/>
                <w:szCs w:val="24"/>
              </w:rPr>
            </w:pPr>
            <w:r w:rsidRPr="00AB466D">
              <w:rPr>
                <w:sz w:val="24"/>
                <w:szCs w:val="24"/>
              </w:rPr>
              <w:t xml:space="preserve">Coleta Amostras </w:t>
            </w:r>
          </w:p>
        </w:tc>
        <w:tc>
          <w:tcPr>
            <w:tcW w:w="477"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w:t>
            </w:r>
          </w:p>
        </w:tc>
        <w:tc>
          <w:tcPr>
            <w:tcW w:w="432"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w:t>
            </w:r>
          </w:p>
        </w:tc>
        <w:tc>
          <w:tcPr>
            <w:tcW w:w="459"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w:t>
            </w:r>
          </w:p>
        </w:tc>
        <w:tc>
          <w:tcPr>
            <w:tcW w:w="513"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w:t>
            </w:r>
          </w:p>
        </w:tc>
        <w:tc>
          <w:tcPr>
            <w:tcW w:w="396"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w:t>
            </w:r>
          </w:p>
        </w:tc>
        <w:tc>
          <w:tcPr>
            <w:tcW w:w="585"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w:t>
            </w:r>
          </w:p>
        </w:tc>
        <w:tc>
          <w:tcPr>
            <w:tcW w:w="549"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858</w:t>
            </w:r>
          </w:p>
        </w:tc>
        <w:tc>
          <w:tcPr>
            <w:tcW w:w="701"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858</w:t>
            </w:r>
          </w:p>
        </w:tc>
      </w:tr>
      <w:tr w:rsidR="00AB466D" w:rsidRPr="00AB466D" w:rsidTr="00AB466D">
        <w:trPr>
          <w:trHeight w:val="263"/>
        </w:trPr>
        <w:tc>
          <w:tcPr>
            <w:tcW w:w="890" w:type="pct"/>
            <w:shd w:val="clear" w:color="auto" w:fill="FFFFFF"/>
            <w:vAlign w:val="center"/>
          </w:tcPr>
          <w:p w:rsidR="00556468" w:rsidRPr="00AB466D" w:rsidRDefault="00556468" w:rsidP="00E15BB6">
            <w:pPr>
              <w:pBdr>
                <w:top w:val="nil"/>
                <w:left w:val="nil"/>
                <w:bottom w:val="nil"/>
                <w:right w:val="nil"/>
                <w:between w:val="nil"/>
              </w:pBdr>
              <w:rPr>
                <w:sz w:val="24"/>
                <w:szCs w:val="24"/>
              </w:rPr>
            </w:pPr>
            <w:r w:rsidRPr="00AB466D">
              <w:rPr>
                <w:sz w:val="24"/>
                <w:szCs w:val="24"/>
              </w:rPr>
              <w:t xml:space="preserve">Testes IST’s </w:t>
            </w:r>
          </w:p>
        </w:tc>
        <w:tc>
          <w:tcPr>
            <w:tcW w:w="477"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84</w:t>
            </w:r>
          </w:p>
        </w:tc>
        <w:tc>
          <w:tcPr>
            <w:tcW w:w="432"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62</w:t>
            </w:r>
          </w:p>
        </w:tc>
        <w:tc>
          <w:tcPr>
            <w:tcW w:w="459"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15</w:t>
            </w:r>
          </w:p>
        </w:tc>
        <w:tc>
          <w:tcPr>
            <w:tcW w:w="513"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w:t>
            </w:r>
          </w:p>
        </w:tc>
        <w:tc>
          <w:tcPr>
            <w:tcW w:w="396"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3</w:t>
            </w:r>
          </w:p>
        </w:tc>
        <w:tc>
          <w:tcPr>
            <w:tcW w:w="585"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6</w:t>
            </w:r>
          </w:p>
        </w:tc>
        <w:tc>
          <w:tcPr>
            <w:tcW w:w="549"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w:t>
            </w:r>
          </w:p>
        </w:tc>
        <w:tc>
          <w:tcPr>
            <w:tcW w:w="701"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171</w:t>
            </w:r>
          </w:p>
        </w:tc>
      </w:tr>
      <w:tr w:rsidR="00AB466D" w:rsidRPr="00AB466D" w:rsidTr="00AB466D">
        <w:trPr>
          <w:trHeight w:val="276"/>
        </w:trPr>
        <w:tc>
          <w:tcPr>
            <w:tcW w:w="890" w:type="pct"/>
            <w:shd w:val="clear" w:color="auto" w:fill="FFFFFF"/>
            <w:vAlign w:val="center"/>
          </w:tcPr>
          <w:p w:rsidR="00556468" w:rsidRPr="00AB466D" w:rsidRDefault="00556468" w:rsidP="00E15BB6">
            <w:pPr>
              <w:pBdr>
                <w:top w:val="nil"/>
                <w:left w:val="nil"/>
                <w:bottom w:val="nil"/>
                <w:right w:val="nil"/>
                <w:between w:val="nil"/>
              </w:pBdr>
              <w:rPr>
                <w:sz w:val="24"/>
                <w:szCs w:val="24"/>
              </w:rPr>
            </w:pPr>
            <w:r w:rsidRPr="00AB466D">
              <w:rPr>
                <w:sz w:val="24"/>
                <w:szCs w:val="24"/>
              </w:rPr>
              <w:t xml:space="preserve">TOTAL </w:t>
            </w:r>
          </w:p>
        </w:tc>
        <w:tc>
          <w:tcPr>
            <w:tcW w:w="477"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1432</w:t>
            </w:r>
          </w:p>
        </w:tc>
        <w:tc>
          <w:tcPr>
            <w:tcW w:w="432"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497</w:t>
            </w:r>
          </w:p>
        </w:tc>
        <w:tc>
          <w:tcPr>
            <w:tcW w:w="459"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426</w:t>
            </w:r>
          </w:p>
        </w:tc>
        <w:tc>
          <w:tcPr>
            <w:tcW w:w="513"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9</w:t>
            </w:r>
          </w:p>
        </w:tc>
        <w:tc>
          <w:tcPr>
            <w:tcW w:w="396"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1010</w:t>
            </w:r>
          </w:p>
        </w:tc>
        <w:tc>
          <w:tcPr>
            <w:tcW w:w="585"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615</w:t>
            </w:r>
          </w:p>
        </w:tc>
        <w:tc>
          <w:tcPr>
            <w:tcW w:w="549"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890</w:t>
            </w:r>
          </w:p>
        </w:tc>
        <w:tc>
          <w:tcPr>
            <w:tcW w:w="701" w:type="pct"/>
            <w:shd w:val="clear" w:color="auto" w:fill="FFFFFF"/>
            <w:vAlign w:val="center"/>
          </w:tcPr>
          <w:p w:rsidR="00556468" w:rsidRPr="00AB466D" w:rsidRDefault="00556468" w:rsidP="00E15BB6">
            <w:pPr>
              <w:pBdr>
                <w:top w:val="nil"/>
                <w:left w:val="nil"/>
                <w:bottom w:val="nil"/>
                <w:right w:val="nil"/>
                <w:between w:val="nil"/>
              </w:pBdr>
              <w:jc w:val="center"/>
              <w:rPr>
                <w:sz w:val="24"/>
                <w:szCs w:val="24"/>
              </w:rPr>
            </w:pPr>
            <w:r w:rsidRPr="00AB466D">
              <w:rPr>
                <w:sz w:val="24"/>
                <w:szCs w:val="24"/>
              </w:rPr>
              <w:t>4879</w:t>
            </w:r>
          </w:p>
        </w:tc>
      </w:tr>
    </w:tbl>
    <w:p w:rsidR="00556468" w:rsidRDefault="00556468" w:rsidP="00556468">
      <w:pPr>
        <w:widowControl w:val="0"/>
        <w:pBdr>
          <w:top w:val="nil"/>
          <w:left w:val="nil"/>
          <w:bottom w:val="nil"/>
          <w:right w:val="nil"/>
          <w:between w:val="nil"/>
        </w:pBdr>
        <w:spacing w:before="120"/>
        <w:jc w:val="both"/>
        <w:rPr>
          <w:color w:val="000000"/>
          <w:sz w:val="20"/>
          <w:szCs w:val="20"/>
        </w:rPr>
      </w:pPr>
      <w:r>
        <w:rPr>
          <w:color w:val="000000"/>
          <w:sz w:val="20"/>
          <w:szCs w:val="20"/>
        </w:rPr>
        <w:t>EG (Estudante de Graduação); EGV (Estudante Graduação Vulnerável); EPGV (Estudante de Pós-graduação Vulnerável); SER (Servidor); TER (Terceirizado). * não foi possível classificar as coletas de amostra para teste de Covid entre as categorias listadas, porém todas as coletas foram de pacientes pertencentes a comunidade UFLA (discentes, servidores, terceirizados).</w:t>
      </w:r>
    </w:p>
    <w:p w:rsidR="00556468" w:rsidRPr="00AB466D" w:rsidRDefault="00556468" w:rsidP="00AB466D">
      <w:pPr>
        <w:pBdr>
          <w:top w:val="nil"/>
          <w:left w:val="nil"/>
          <w:bottom w:val="nil"/>
          <w:right w:val="nil"/>
          <w:between w:val="nil"/>
        </w:pBdr>
        <w:shd w:val="clear" w:color="auto" w:fill="FFFFFF"/>
        <w:spacing w:before="280" w:after="280" w:line="360" w:lineRule="auto"/>
        <w:jc w:val="both"/>
        <w:rPr>
          <w:color w:val="000000"/>
          <w:sz w:val="24"/>
          <w:szCs w:val="24"/>
        </w:rPr>
      </w:pPr>
      <w:r w:rsidRPr="00AB466D">
        <w:rPr>
          <w:color w:val="000000"/>
          <w:sz w:val="24"/>
          <w:szCs w:val="24"/>
        </w:rPr>
        <w:t>- N</w:t>
      </w:r>
      <w:r w:rsidRPr="00AB466D">
        <w:rPr>
          <w:sz w:val="24"/>
          <w:szCs w:val="24"/>
        </w:rPr>
        <w:t>o</w:t>
      </w:r>
      <w:r w:rsidRPr="00AB466D">
        <w:rPr>
          <w:color w:val="000000"/>
          <w:sz w:val="24"/>
          <w:szCs w:val="24"/>
        </w:rPr>
        <w:t xml:space="preserve"> ano de 2022 foram realizadas em torno de 13 (treze) ações de </w:t>
      </w:r>
      <w:r w:rsidRPr="00AB466D">
        <w:rPr>
          <w:b/>
          <w:color w:val="000000"/>
          <w:sz w:val="24"/>
          <w:szCs w:val="24"/>
        </w:rPr>
        <w:t>promoção e prevenção em saúde</w:t>
      </w:r>
      <w:r w:rsidRPr="00AB466D">
        <w:rPr>
          <w:color w:val="000000"/>
          <w:sz w:val="24"/>
          <w:szCs w:val="24"/>
        </w:rPr>
        <w:t xml:space="preserve">, no intuito de apresentar a toda comunidade universitária, estratégias e ações para a melhor qualidade de vida. Dentre essas ações que aconteceram de forma presencial e online </w:t>
      </w:r>
      <w:r w:rsidRPr="00AB466D">
        <w:rPr>
          <w:sz w:val="24"/>
          <w:szCs w:val="24"/>
        </w:rPr>
        <w:t>tivemos</w:t>
      </w:r>
      <w:r w:rsidRPr="00AB466D">
        <w:rPr>
          <w:color w:val="000000"/>
          <w:sz w:val="24"/>
          <w:szCs w:val="24"/>
        </w:rPr>
        <w:t>: mesas redondas</w:t>
      </w:r>
      <w:r w:rsidRPr="00AB466D">
        <w:rPr>
          <w:sz w:val="24"/>
          <w:szCs w:val="24"/>
        </w:rPr>
        <w:t xml:space="preserve">, palestras, PodCast, dias de vacinação e testagem e aconselhamento em parceria com o Centro de Testagem e Aconselhamento (CTA) da Prefeitura Municipal de Lavras (PML), onde são realizados aconselhamentos e testes rápidos para Infecções Sexualmente Transmissíveis, </w:t>
      </w:r>
    </w:p>
    <w:p w:rsidR="00556468" w:rsidRDefault="00556468" w:rsidP="00AB466D">
      <w:pPr>
        <w:pBdr>
          <w:top w:val="nil"/>
          <w:left w:val="nil"/>
          <w:bottom w:val="nil"/>
          <w:right w:val="nil"/>
          <w:between w:val="nil"/>
        </w:pBdr>
        <w:shd w:val="clear" w:color="auto" w:fill="FFFFFF"/>
        <w:spacing w:before="280" w:after="280" w:line="360" w:lineRule="auto"/>
        <w:jc w:val="both"/>
      </w:pPr>
      <w:r w:rsidRPr="00AB466D">
        <w:rPr>
          <w:color w:val="000000"/>
          <w:sz w:val="24"/>
          <w:szCs w:val="24"/>
        </w:rPr>
        <w:t xml:space="preserve">- Em 2022 foi aprovada a nova resolução (Resolução CUNI 028 de 06/06/2022) que dispõe sobre o </w:t>
      </w:r>
      <w:r w:rsidRPr="00AB466D">
        <w:rPr>
          <w:b/>
          <w:color w:val="000000"/>
          <w:sz w:val="24"/>
          <w:szCs w:val="24"/>
        </w:rPr>
        <w:t xml:space="preserve">Programa Institucional de Bolsas (PIB), </w:t>
      </w:r>
      <w:r w:rsidRPr="00AB466D">
        <w:rPr>
          <w:color w:val="000000"/>
          <w:sz w:val="24"/>
          <w:szCs w:val="24"/>
        </w:rPr>
        <w:t xml:space="preserve">objetivando a concessão de auxílio financeiro a estudantes matriculados em cursos de graduação e </w:t>
      </w:r>
      <w:r w:rsidRPr="00AB466D">
        <w:rPr>
          <w:sz w:val="24"/>
          <w:szCs w:val="24"/>
        </w:rPr>
        <w:t xml:space="preserve">pós-graduação </w:t>
      </w:r>
      <w:r w:rsidRPr="00AB466D">
        <w:rPr>
          <w:color w:val="000000"/>
          <w:sz w:val="24"/>
          <w:szCs w:val="24"/>
        </w:rPr>
        <w:t>presenciais. Sendo pago um to</w:t>
      </w:r>
      <w:r w:rsidRPr="00AB466D">
        <w:rPr>
          <w:sz w:val="24"/>
          <w:szCs w:val="24"/>
        </w:rPr>
        <w:t xml:space="preserve">tal de 792 bolsas em diversas </w:t>
      </w:r>
      <w:r w:rsidR="00AB466D" w:rsidRPr="00AB466D">
        <w:rPr>
          <w:sz w:val="24"/>
          <w:szCs w:val="24"/>
        </w:rPr>
        <w:t>modalidades para</w:t>
      </w:r>
      <w:r w:rsidRPr="00AB466D">
        <w:rPr>
          <w:sz w:val="24"/>
          <w:szCs w:val="24"/>
        </w:rPr>
        <w:t xml:space="preserve"> discentes classificados com vulnerabilidade socioeconômica do campus sede e de São Sebastião do Paraíso tais como: </w:t>
      </w:r>
    </w:p>
    <w:p w:rsidR="00556468" w:rsidRPr="00AB466D" w:rsidRDefault="00556468" w:rsidP="00AB466D">
      <w:pPr>
        <w:pBdr>
          <w:top w:val="nil"/>
          <w:left w:val="nil"/>
          <w:bottom w:val="nil"/>
          <w:right w:val="nil"/>
          <w:between w:val="nil"/>
        </w:pBdr>
        <w:shd w:val="clear" w:color="auto" w:fill="FFFFFF"/>
        <w:spacing w:before="280" w:after="280" w:line="360" w:lineRule="auto"/>
        <w:jc w:val="both"/>
        <w:rPr>
          <w:color w:val="000000"/>
          <w:sz w:val="24"/>
          <w:szCs w:val="24"/>
        </w:rPr>
      </w:pPr>
      <w:r w:rsidRPr="00AB466D">
        <w:rPr>
          <w:b/>
          <w:color w:val="000000"/>
          <w:sz w:val="24"/>
          <w:szCs w:val="24"/>
        </w:rPr>
        <w:t xml:space="preserve">Bolsa Calouro </w:t>
      </w:r>
      <w:r w:rsidRPr="00AB466D">
        <w:rPr>
          <w:sz w:val="24"/>
          <w:szCs w:val="24"/>
        </w:rPr>
        <w:t xml:space="preserve">(200 bolsas), </w:t>
      </w:r>
      <w:r w:rsidRPr="00AB466D">
        <w:rPr>
          <w:b/>
          <w:sz w:val="24"/>
          <w:szCs w:val="24"/>
        </w:rPr>
        <w:t>Programa de Apoio para aquisição de máscaras -PFF UFLA (</w:t>
      </w:r>
      <w:r w:rsidRPr="00AB466D">
        <w:rPr>
          <w:sz w:val="24"/>
          <w:szCs w:val="24"/>
        </w:rPr>
        <w:t>703 auxílios pagos pagas em cota única) e o</w:t>
      </w:r>
      <w:r w:rsidRPr="00AB466D">
        <w:rPr>
          <w:color w:val="000000"/>
          <w:sz w:val="24"/>
          <w:szCs w:val="24"/>
        </w:rPr>
        <w:t xml:space="preserve"> </w:t>
      </w:r>
      <w:r w:rsidRPr="00AB466D">
        <w:rPr>
          <w:b/>
          <w:color w:val="000000"/>
          <w:sz w:val="24"/>
          <w:szCs w:val="24"/>
        </w:rPr>
        <w:t xml:space="preserve">Programa de Apoio </w:t>
      </w:r>
      <w:r w:rsidRPr="00AB466D">
        <w:rPr>
          <w:b/>
          <w:sz w:val="24"/>
          <w:szCs w:val="24"/>
        </w:rPr>
        <w:t>à Permanência</w:t>
      </w:r>
      <w:r w:rsidRPr="00AB466D">
        <w:rPr>
          <w:b/>
          <w:color w:val="000000"/>
          <w:sz w:val="24"/>
          <w:szCs w:val="24"/>
        </w:rPr>
        <w:t xml:space="preserve"> para os discentes do campus de São </w:t>
      </w:r>
      <w:r w:rsidRPr="00AB466D">
        <w:rPr>
          <w:b/>
          <w:sz w:val="24"/>
          <w:szCs w:val="24"/>
        </w:rPr>
        <w:t>Sebastião</w:t>
      </w:r>
      <w:r w:rsidRPr="00AB466D">
        <w:rPr>
          <w:b/>
          <w:color w:val="000000"/>
          <w:sz w:val="24"/>
          <w:szCs w:val="24"/>
        </w:rPr>
        <w:t xml:space="preserve"> do Paraíso - PAP (</w:t>
      </w:r>
      <w:r w:rsidRPr="00AB466D">
        <w:rPr>
          <w:color w:val="000000"/>
          <w:sz w:val="24"/>
          <w:szCs w:val="24"/>
        </w:rPr>
        <w:t>07</w:t>
      </w:r>
      <w:r w:rsidRPr="00AB466D">
        <w:rPr>
          <w:b/>
          <w:color w:val="000000"/>
          <w:sz w:val="24"/>
          <w:szCs w:val="24"/>
        </w:rPr>
        <w:t xml:space="preserve"> </w:t>
      </w:r>
      <w:r w:rsidRPr="00AB466D">
        <w:rPr>
          <w:color w:val="000000"/>
          <w:sz w:val="24"/>
          <w:szCs w:val="24"/>
        </w:rPr>
        <w:t>bolsas)</w:t>
      </w:r>
      <w:r w:rsidRPr="00AB466D">
        <w:rPr>
          <w:sz w:val="24"/>
          <w:szCs w:val="24"/>
        </w:rPr>
        <w:t>,</w:t>
      </w:r>
      <w:r w:rsidRPr="00AB466D">
        <w:rPr>
          <w:b/>
          <w:color w:val="000000"/>
          <w:sz w:val="24"/>
          <w:szCs w:val="24"/>
        </w:rPr>
        <w:t xml:space="preserve"> </w:t>
      </w:r>
      <w:r w:rsidRPr="00AB466D">
        <w:rPr>
          <w:color w:val="000000"/>
          <w:sz w:val="24"/>
          <w:szCs w:val="24"/>
        </w:rPr>
        <w:t>que</w:t>
      </w:r>
      <w:r w:rsidRPr="00AB466D">
        <w:rPr>
          <w:b/>
          <w:color w:val="000000"/>
          <w:sz w:val="24"/>
          <w:szCs w:val="24"/>
        </w:rPr>
        <w:t xml:space="preserve"> </w:t>
      </w:r>
      <w:r w:rsidRPr="00AB466D">
        <w:rPr>
          <w:color w:val="000000"/>
          <w:sz w:val="24"/>
          <w:szCs w:val="24"/>
        </w:rPr>
        <w:t xml:space="preserve">visa a concessão de bolsa moradia e alimentação aos discentes matriculados nos cursos de graduação do Campus de São </w:t>
      </w:r>
      <w:r w:rsidRPr="00AB466D">
        <w:rPr>
          <w:sz w:val="24"/>
          <w:szCs w:val="24"/>
        </w:rPr>
        <w:t>Sebastião</w:t>
      </w:r>
      <w:r w:rsidRPr="00AB466D">
        <w:rPr>
          <w:color w:val="000000"/>
          <w:sz w:val="24"/>
          <w:szCs w:val="24"/>
        </w:rPr>
        <w:t xml:space="preserve"> do </w:t>
      </w:r>
      <w:r w:rsidRPr="00AB466D">
        <w:rPr>
          <w:sz w:val="24"/>
          <w:szCs w:val="24"/>
        </w:rPr>
        <w:t>Paraíso</w:t>
      </w:r>
      <w:r w:rsidRPr="00AB466D">
        <w:rPr>
          <w:color w:val="000000"/>
          <w:sz w:val="24"/>
          <w:szCs w:val="24"/>
        </w:rPr>
        <w:t xml:space="preserve"> classificados com vulnerabilidade </w:t>
      </w:r>
      <w:r w:rsidRPr="00AB466D">
        <w:rPr>
          <w:color w:val="000000"/>
          <w:sz w:val="24"/>
          <w:szCs w:val="24"/>
        </w:rPr>
        <w:lastRenderedPageBreak/>
        <w:t xml:space="preserve">socioeconômica após análise socioeconômica realizada pelo Setor de Assistência Social com o objetivo que oferecer condições mínimas de permanência e desenvolvimento acadêmico pleno do estudante de graduação; </w:t>
      </w:r>
    </w:p>
    <w:p w:rsidR="00556468" w:rsidRPr="00AB466D" w:rsidRDefault="00556468" w:rsidP="00AB466D">
      <w:pPr>
        <w:pBdr>
          <w:top w:val="nil"/>
          <w:left w:val="nil"/>
          <w:bottom w:val="nil"/>
          <w:right w:val="nil"/>
          <w:between w:val="nil"/>
        </w:pBdr>
        <w:shd w:val="clear" w:color="auto" w:fill="FFFFFF"/>
        <w:spacing w:before="280" w:after="280" w:line="360" w:lineRule="auto"/>
        <w:jc w:val="both"/>
        <w:rPr>
          <w:sz w:val="24"/>
          <w:szCs w:val="24"/>
        </w:rPr>
      </w:pPr>
      <w:r w:rsidRPr="00AB466D">
        <w:rPr>
          <w:color w:val="000000"/>
          <w:sz w:val="24"/>
          <w:szCs w:val="24"/>
        </w:rPr>
        <w:t xml:space="preserve">- Diversas melhorias foram implementadas na </w:t>
      </w:r>
      <w:r w:rsidRPr="00AB466D">
        <w:rPr>
          <w:b/>
          <w:color w:val="000000"/>
          <w:sz w:val="24"/>
          <w:szCs w:val="24"/>
        </w:rPr>
        <w:t xml:space="preserve">Moradia Estudantil </w:t>
      </w:r>
      <w:r w:rsidRPr="00AB466D">
        <w:rPr>
          <w:color w:val="000000"/>
          <w:sz w:val="24"/>
          <w:szCs w:val="24"/>
        </w:rPr>
        <w:t>visando</w:t>
      </w:r>
      <w:r w:rsidRPr="00AB466D">
        <w:rPr>
          <w:b/>
          <w:color w:val="000000"/>
          <w:sz w:val="24"/>
          <w:szCs w:val="24"/>
        </w:rPr>
        <w:t xml:space="preserve"> </w:t>
      </w:r>
      <w:r w:rsidRPr="00AB466D">
        <w:rPr>
          <w:color w:val="000000"/>
          <w:sz w:val="24"/>
          <w:szCs w:val="24"/>
        </w:rPr>
        <w:t>a melhoria da qualidade de vida e aumento</w:t>
      </w:r>
      <w:r w:rsidRPr="00AB466D">
        <w:rPr>
          <w:b/>
          <w:color w:val="000000"/>
          <w:sz w:val="24"/>
          <w:szCs w:val="24"/>
        </w:rPr>
        <w:t xml:space="preserve"> </w:t>
      </w:r>
      <w:r w:rsidRPr="00AB466D">
        <w:rPr>
          <w:color w:val="000000"/>
          <w:sz w:val="24"/>
          <w:szCs w:val="24"/>
        </w:rPr>
        <w:t>da segurança dos moradores. Foram instaladas mais câmeras de segurança; foi implantado um posto fixo de vigilância nas suas dependências; limpeza constante dos arredores da moradia; vistoria e correção das cercas e portões; instalação de roteadores visando aumentar o alcance dos serviços de internet wi-fi. Ainda foram entregues os eletrodomésticos adquiridos em 2021, sendo: 12 fogões, 21 microondas e 6 máquinas de lavar roupas</w:t>
      </w:r>
      <w:r w:rsidRPr="00AB466D">
        <w:rPr>
          <w:sz w:val="24"/>
          <w:szCs w:val="24"/>
        </w:rPr>
        <w:t>, além da manutenção constante da estrutura predial, incluindo reparos hidráulicos, elétricos e na rede de internet.</w:t>
      </w:r>
    </w:p>
    <w:p w:rsidR="00556468" w:rsidRPr="00AB466D" w:rsidRDefault="00556468" w:rsidP="00AB466D">
      <w:pPr>
        <w:pBdr>
          <w:top w:val="nil"/>
          <w:left w:val="nil"/>
          <w:bottom w:val="nil"/>
          <w:right w:val="nil"/>
          <w:between w:val="nil"/>
        </w:pBdr>
        <w:shd w:val="clear" w:color="auto" w:fill="FFFFFF"/>
        <w:spacing w:before="280" w:after="280" w:line="360" w:lineRule="auto"/>
        <w:jc w:val="both"/>
        <w:rPr>
          <w:sz w:val="24"/>
          <w:szCs w:val="24"/>
        </w:rPr>
      </w:pPr>
      <w:r w:rsidRPr="00AB466D">
        <w:rPr>
          <w:sz w:val="24"/>
          <w:szCs w:val="24"/>
        </w:rPr>
        <w:t xml:space="preserve">- o </w:t>
      </w:r>
      <w:r w:rsidRPr="00AB466D">
        <w:rPr>
          <w:b/>
          <w:sz w:val="24"/>
          <w:szCs w:val="24"/>
        </w:rPr>
        <w:t>Projeto Alunos Conectados</w:t>
      </w:r>
      <w:r w:rsidRPr="00AB466D">
        <w:rPr>
          <w:sz w:val="24"/>
          <w:szCs w:val="24"/>
        </w:rPr>
        <w:t xml:space="preserve">, em parceria com a Rede Nacional de Pesquisa (RNP), que consistiu no fornecimento, disponibilização e monitoramento de chip com pacote de dados para os estudantes. O programa atingiu 240 discentes em 2022 e foi descontinuado pelo Governo Federal em junho de 2022. </w:t>
      </w:r>
    </w:p>
    <w:p w:rsidR="00556468" w:rsidRPr="00AB466D" w:rsidRDefault="00556468" w:rsidP="00AB466D">
      <w:pPr>
        <w:pBdr>
          <w:top w:val="nil"/>
          <w:left w:val="nil"/>
          <w:bottom w:val="nil"/>
          <w:right w:val="nil"/>
          <w:between w:val="nil"/>
        </w:pBdr>
        <w:spacing w:before="280" w:after="280" w:line="360" w:lineRule="auto"/>
        <w:jc w:val="both"/>
        <w:rPr>
          <w:color w:val="000000"/>
          <w:sz w:val="24"/>
          <w:szCs w:val="24"/>
        </w:rPr>
      </w:pPr>
      <w:r w:rsidRPr="00AB466D">
        <w:rPr>
          <w:color w:val="000000"/>
          <w:sz w:val="24"/>
          <w:szCs w:val="24"/>
        </w:rPr>
        <w:t xml:space="preserve">- O </w:t>
      </w:r>
      <w:r w:rsidRPr="00AB466D">
        <w:rPr>
          <w:b/>
          <w:color w:val="000000"/>
          <w:sz w:val="24"/>
          <w:szCs w:val="24"/>
        </w:rPr>
        <w:t>Setor de Diversidade e Diferenças - SDD</w:t>
      </w:r>
      <w:r w:rsidRPr="00AB466D">
        <w:rPr>
          <w:color w:val="000000"/>
          <w:sz w:val="24"/>
          <w:szCs w:val="24"/>
        </w:rPr>
        <w:t xml:space="preserve"> tem como finalidade a formulação e execução de programas, projetos e ações que visem a implementar as políticas institucionais, acerca dos assuntos estudantis e comunitários de igualdade de gênero, equidade étnico-racial, diversidade sexual, e valorização das diferenças entre os indivíduos e suas interseccionalidades. Em 2022, foram desenvolvidas várias ações, tais como: Condução dos trabalhos da Comissão de Heteroidentificação da UFLA referentes ao Programa de Avaliação Seriada (PAS) e o Sistema de Seleção Unificada (SISU) e capacitação da equipe por meio de encontros quinzenais para formação continuada; Criação do canal “Diversidade e Diferencas/UFLA. Foram proferidas 15 palestras e realizados 06 eventos/lives no canal. Além, da condução da comissão que estabeleceu a metodologia para a elaboração da Política Institucional de Equidade, Diversidade e Inclusão.</w:t>
      </w:r>
    </w:p>
    <w:p w:rsidR="00556468" w:rsidRPr="00AB466D" w:rsidRDefault="00556468" w:rsidP="00AB466D">
      <w:pPr>
        <w:pBdr>
          <w:top w:val="nil"/>
          <w:left w:val="nil"/>
          <w:bottom w:val="nil"/>
          <w:right w:val="nil"/>
          <w:between w:val="nil"/>
        </w:pBdr>
        <w:spacing w:before="280" w:after="280" w:line="360" w:lineRule="auto"/>
        <w:jc w:val="both"/>
        <w:rPr>
          <w:color w:val="000000"/>
          <w:sz w:val="24"/>
          <w:szCs w:val="24"/>
        </w:rPr>
      </w:pPr>
      <w:r w:rsidRPr="00AB466D">
        <w:rPr>
          <w:color w:val="000000"/>
          <w:sz w:val="24"/>
          <w:szCs w:val="24"/>
        </w:rPr>
        <w:t xml:space="preserve">- O </w:t>
      </w:r>
      <w:r w:rsidRPr="00AB466D">
        <w:rPr>
          <w:b/>
          <w:color w:val="000000"/>
          <w:sz w:val="24"/>
          <w:szCs w:val="24"/>
        </w:rPr>
        <w:t>Setor de Acessibilidade e Inclusão - SAI</w:t>
      </w:r>
      <w:r w:rsidRPr="00AB466D">
        <w:rPr>
          <w:color w:val="000000"/>
          <w:sz w:val="24"/>
          <w:szCs w:val="24"/>
        </w:rPr>
        <w:t xml:space="preserve">, em 2022 realizou 108 atendimentos por meio do </w:t>
      </w:r>
      <w:r w:rsidRPr="00AB466D">
        <w:rPr>
          <w:b/>
          <w:color w:val="000000"/>
          <w:sz w:val="24"/>
          <w:szCs w:val="24"/>
        </w:rPr>
        <w:t xml:space="preserve">Programa de Apoio a Discentes com Necessidades Educacionais </w:t>
      </w:r>
      <w:r w:rsidRPr="00AB466D">
        <w:rPr>
          <w:b/>
          <w:sz w:val="24"/>
          <w:szCs w:val="24"/>
        </w:rPr>
        <w:t>Específicas</w:t>
      </w:r>
      <w:r w:rsidRPr="00AB466D">
        <w:rPr>
          <w:b/>
          <w:color w:val="000000"/>
          <w:sz w:val="24"/>
          <w:szCs w:val="24"/>
        </w:rPr>
        <w:t xml:space="preserve"> (PADNEE) </w:t>
      </w:r>
      <w:r w:rsidRPr="00AB466D">
        <w:rPr>
          <w:color w:val="000000"/>
          <w:sz w:val="24"/>
          <w:szCs w:val="24"/>
        </w:rPr>
        <w:t>que</w:t>
      </w:r>
      <w:r w:rsidRPr="00AB466D">
        <w:rPr>
          <w:b/>
          <w:color w:val="000000"/>
          <w:sz w:val="24"/>
          <w:szCs w:val="24"/>
        </w:rPr>
        <w:t xml:space="preserve"> </w:t>
      </w:r>
      <w:r w:rsidRPr="00AB466D">
        <w:rPr>
          <w:color w:val="000000"/>
          <w:sz w:val="24"/>
          <w:szCs w:val="24"/>
        </w:rPr>
        <w:t xml:space="preserve">oferece aos discentes dos cursos de graduação e dos programas de pós-graduação, que possuam necessidades educacionais </w:t>
      </w:r>
      <w:r w:rsidRPr="00AB466D">
        <w:rPr>
          <w:sz w:val="24"/>
          <w:szCs w:val="24"/>
        </w:rPr>
        <w:t>específicas</w:t>
      </w:r>
      <w:r w:rsidRPr="00AB466D">
        <w:rPr>
          <w:color w:val="000000"/>
          <w:sz w:val="24"/>
          <w:szCs w:val="24"/>
        </w:rPr>
        <w:t xml:space="preserve"> (NEE), condições de permanência, participação e de aprendizagem na UFLA. Foram </w:t>
      </w:r>
      <w:r w:rsidRPr="00AB466D">
        <w:rPr>
          <w:color w:val="000000"/>
          <w:sz w:val="24"/>
          <w:szCs w:val="24"/>
        </w:rPr>
        <w:lastRenderedPageBreak/>
        <w:t xml:space="preserve">contratados, via terceirização, 02 intérpretes e tradutores de libras para o atendimento de 02 discentes surdas. </w:t>
      </w:r>
      <w:r w:rsidR="00AB466D" w:rsidRPr="00AB466D">
        <w:rPr>
          <w:color w:val="000000"/>
          <w:sz w:val="24"/>
          <w:szCs w:val="24"/>
        </w:rPr>
        <w:t>E</w:t>
      </w:r>
      <w:r w:rsidR="00AB466D" w:rsidRPr="00AB466D">
        <w:rPr>
          <w:sz w:val="24"/>
          <w:szCs w:val="24"/>
        </w:rPr>
        <w:t xml:space="preserve"> </w:t>
      </w:r>
      <w:r w:rsidR="00AB466D" w:rsidRPr="00AB466D">
        <w:rPr>
          <w:color w:val="000000"/>
          <w:sz w:val="24"/>
          <w:szCs w:val="24"/>
        </w:rPr>
        <w:t>a</w:t>
      </w:r>
      <w:r w:rsidRPr="00AB466D">
        <w:rPr>
          <w:color w:val="000000"/>
          <w:sz w:val="24"/>
          <w:szCs w:val="24"/>
        </w:rPr>
        <w:t xml:space="preserve"> contratação de 01 servidora terceirizada no cargo de Auxiliar de Assuntos Educacionais.</w:t>
      </w:r>
    </w:p>
    <w:p w:rsidR="00556468" w:rsidRPr="00AB466D" w:rsidRDefault="00556468" w:rsidP="00AB466D">
      <w:pPr>
        <w:pBdr>
          <w:top w:val="nil"/>
          <w:left w:val="nil"/>
          <w:bottom w:val="nil"/>
          <w:right w:val="nil"/>
          <w:between w:val="nil"/>
        </w:pBdr>
        <w:spacing w:before="280" w:after="280" w:line="360" w:lineRule="auto"/>
        <w:jc w:val="both"/>
        <w:rPr>
          <w:color w:val="000000"/>
          <w:sz w:val="24"/>
          <w:szCs w:val="24"/>
        </w:rPr>
      </w:pPr>
      <w:r w:rsidRPr="00AB466D">
        <w:rPr>
          <w:color w:val="000000"/>
          <w:sz w:val="24"/>
          <w:szCs w:val="24"/>
        </w:rPr>
        <w:t xml:space="preserve">- Foram fornecidas 292.976 refeições (almoço e jantar) ao longo de 2022 pelo </w:t>
      </w:r>
      <w:r w:rsidRPr="00AB466D">
        <w:rPr>
          <w:b/>
          <w:color w:val="000000"/>
          <w:sz w:val="24"/>
          <w:szCs w:val="24"/>
        </w:rPr>
        <w:t>Restaurante Universitário (RU)</w:t>
      </w:r>
      <w:r w:rsidRPr="00AB466D">
        <w:rPr>
          <w:color w:val="000000"/>
          <w:sz w:val="24"/>
          <w:szCs w:val="24"/>
        </w:rPr>
        <w:t>.</w:t>
      </w:r>
    </w:p>
    <w:p w:rsidR="00556468" w:rsidRPr="00AB466D" w:rsidRDefault="00556468" w:rsidP="00AB466D">
      <w:pPr>
        <w:pBdr>
          <w:top w:val="nil"/>
          <w:left w:val="nil"/>
          <w:bottom w:val="nil"/>
          <w:right w:val="nil"/>
          <w:between w:val="nil"/>
        </w:pBdr>
        <w:spacing w:before="280" w:after="280" w:line="360" w:lineRule="auto"/>
        <w:jc w:val="both"/>
        <w:rPr>
          <w:color w:val="000000"/>
          <w:sz w:val="24"/>
          <w:szCs w:val="24"/>
        </w:rPr>
      </w:pPr>
      <w:r w:rsidRPr="00AB466D">
        <w:rPr>
          <w:color w:val="000000"/>
          <w:sz w:val="24"/>
          <w:szCs w:val="24"/>
        </w:rPr>
        <w:t xml:space="preserve">- </w:t>
      </w:r>
      <w:r w:rsidRPr="00AB466D">
        <w:rPr>
          <w:sz w:val="24"/>
          <w:szCs w:val="24"/>
        </w:rPr>
        <w:t>Coordenadoria de Gestão Estratégica (CGE) trabalhou em diversos processos de licitatórios no intuito de dar as condições necessárias para o seu pleno funcionamento. Cerca de 236 itens foram licitados, tanto para as demandas da PRAEC, como também para apoio às outras unidades acadêmicas reitoria e pró-reitorias.</w:t>
      </w:r>
    </w:p>
    <w:p w:rsidR="00556468" w:rsidRPr="00AB466D" w:rsidRDefault="00556468" w:rsidP="00AB466D">
      <w:pPr>
        <w:spacing w:before="116" w:line="360" w:lineRule="auto"/>
        <w:jc w:val="both"/>
        <w:rPr>
          <w:sz w:val="24"/>
          <w:szCs w:val="24"/>
        </w:rPr>
      </w:pPr>
      <w:r w:rsidRPr="00AB466D">
        <w:rPr>
          <w:sz w:val="24"/>
          <w:szCs w:val="24"/>
        </w:rPr>
        <w:t xml:space="preserve">- Em 2022 foi aprovada a Resolução </w:t>
      </w:r>
      <w:r w:rsidRPr="00AB466D">
        <w:rPr>
          <w:sz w:val="24"/>
          <w:szCs w:val="24"/>
          <w:highlight w:val="white"/>
        </w:rPr>
        <w:t xml:space="preserve">023 que dispõe sobre o Regulamento do Programa de Análise Socioeconômica do corpo discente dos cursos de graduação presenciais e dos programas de pós-graduação </w:t>
      </w:r>
      <w:r w:rsidRPr="00AB466D">
        <w:rPr>
          <w:i/>
          <w:iCs/>
          <w:sz w:val="24"/>
          <w:szCs w:val="24"/>
          <w:highlight w:val="white"/>
        </w:rPr>
        <w:t>Strico</w:t>
      </w:r>
      <w:r w:rsidRPr="00AB466D">
        <w:rPr>
          <w:sz w:val="24"/>
          <w:szCs w:val="24"/>
          <w:highlight w:val="white"/>
        </w:rPr>
        <w:t xml:space="preserve"> sensu da </w:t>
      </w:r>
      <w:r w:rsidR="00AB466D" w:rsidRPr="00AB466D">
        <w:rPr>
          <w:sz w:val="24"/>
          <w:szCs w:val="24"/>
          <w:highlight w:val="white"/>
        </w:rPr>
        <w:t>UFLA,</w:t>
      </w:r>
      <w:r w:rsidRPr="00AB466D">
        <w:rPr>
          <w:sz w:val="24"/>
          <w:szCs w:val="24"/>
          <w:highlight w:val="white"/>
        </w:rPr>
        <w:t xml:space="preserve"> </w:t>
      </w:r>
      <w:r w:rsidRPr="00AB466D">
        <w:rPr>
          <w:sz w:val="24"/>
          <w:szCs w:val="24"/>
        </w:rPr>
        <w:t xml:space="preserve">diversas ações e programas foram realizados para fins de mitigar as dificuldades vivenciadas pela comunidade estudantil. Uma das principais conquistas foi a incorporação do processo de análise socioeconômica junto ao sistema SIG-UFLA onde todo trâmite de documentos passou a ser realizado em formato digital. Foram realizadas 991 Análises Socioeconômicas para acesso de discentes de graduação e pós-graduação </w:t>
      </w:r>
      <w:r w:rsidR="00AB466D" w:rsidRPr="00AB466D">
        <w:rPr>
          <w:sz w:val="24"/>
          <w:szCs w:val="24"/>
        </w:rPr>
        <w:t>à Assistência</w:t>
      </w:r>
      <w:r w:rsidRPr="00AB466D">
        <w:rPr>
          <w:sz w:val="24"/>
          <w:szCs w:val="24"/>
        </w:rPr>
        <w:t xml:space="preserve"> Estudantil Prioritária. Foram realizadas ainda em parceria com a Pró-Reitoria de Graduação 539 Análises </w:t>
      </w:r>
      <w:r w:rsidR="00AB466D" w:rsidRPr="00AB466D">
        <w:rPr>
          <w:sz w:val="24"/>
          <w:szCs w:val="24"/>
        </w:rPr>
        <w:t>Socioeconômicas para</w:t>
      </w:r>
      <w:r w:rsidRPr="00AB466D">
        <w:rPr>
          <w:sz w:val="24"/>
          <w:szCs w:val="24"/>
        </w:rPr>
        <w:t xml:space="preserve"> ingresso de discentes da rede pública, por meio do Sistema de Cotas (critério de renda) e 4504 Análises Socioeconômicas para isenção de taxa de processos seletivos.</w:t>
      </w:r>
    </w:p>
    <w:p w:rsidR="00556468" w:rsidRPr="00AB466D" w:rsidRDefault="00556468" w:rsidP="00556468">
      <w:pPr>
        <w:widowControl w:val="0"/>
        <w:pBdr>
          <w:top w:val="nil"/>
          <w:left w:val="nil"/>
          <w:bottom w:val="nil"/>
          <w:right w:val="nil"/>
          <w:between w:val="nil"/>
        </w:pBdr>
        <w:spacing w:before="120"/>
        <w:jc w:val="center"/>
        <w:rPr>
          <w:b/>
          <w:color w:val="000000"/>
          <w:sz w:val="24"/>
          <w:szCs w:val="24"/>
        </w:rPr>
      </w:pPr>
      <w:r w:rsidRPr="00AB466D">
        <w:rPr>
          <w:b/>
          <w:color w:val="000000"/>
          <w:sz w:val="24"/>
          <w:szCs w:val="24"/>
        </w:rPr>
        <w:t xml:space="preserve">A avaliação dos resultados do Plano Nacional de </w:t>
      </w:r>
      <w:r w:rsidRPr="00AB466D">
        <w:rPr>
          <w:b/>
          <w:color w:val="000000"/>
          <w:sz w:val="24"/>
          <w:szCs w:val="24"/>
        </w:rPr>
        <w:br/>
        <w:t>Assistência Estudantil (PNAES) na UFLA</w:t>
      </w:r>
    </w:p>
    <w:p w:rsidR="00556468" w:rsidRPr="00AB466D" w:rsidRDefault="00556468" w:rsidP="00AB466D">
      <w:pPr>
        <w:widowControl w:val="0"/>
        <w:pBdr>
          <w:top w:val="nil"/>
          <w:left w:val="nil"/>
          <w:bottom w:val="nil"/>
          <w:right w:val="nil"/>
          <w:between w:val="nil"/>
        </w:pBdr>
        <w:spacing w:before="120" w:line="360" w:lineRule="auto"/>
        <w:ind w:firstLine="720"/>
        <w:jc w:val="both"/>
        <w:rPr>
          <w:color w:val="000000"/>
          <w:sz w:val="24"/>
          <w:szCs w:val="24"/>
        </w:rPr>
      </w:pPr>
      <w:r w:rsidRPr="00AB466D">
        <w:rPr>
          <w:color w:val="000000"/>
          <w:sz w:val="24"/>
          <w:szCs w:val="24"/>
        </w:rPr>
        <w:t>N</w:t>
      </w:r>
      <w:r w:rsidR="00AB466D" w:rsidRPr="00AB466D">
        <w:rPr>
          <w:color w:val="000000"/>
          <w:sz w:val="24"/>
          <w:szCs w:val="24"/>
        </w:rPr>
        <w:t>o</w:t>
      </w:r>
      <w:r w:rsidRPr="00AB466D">
        <w:rPr>
          <w:color w:val="000000"/>
          <w:sz w:val="24"/>
          <w:szCs w:val="24"/>
        </w:rPr>
        <w:t xml:space="preserve"> </w:t>
      </w:r>
      <w:r w:rsidRPr="00AB466D">
        <w:rPr>
          <w:sz w:val="24"/>
          <w:szCs w:val="24"/>
        </w:rPr>
        <w:t xml:space="preserve">Quadro </w:t>
      </w:r>
      <w:r w:rsidR="00AB466D" w:rsidRPr="00AB466D">
        <w:rPr>
          <w:sz w:val="24"/>
          <w:szCs w:val="24"/>
        </w:rPr>
        <w:t>1</w:t>
      </w:r>
      <w:r w:rsidRPr="00AB466D">
        <w:rPr>
          <w:sz w:val="24"/>
          <w:szCs w:val="24"/>
        </w:rPr>
        <w:t xml:space="preserve"> </w:t>
      </w:r>
      <w:r w:rsidRPr="00AB466D">
        <w:rPr>
          <w:color w:val="000000"/>
          <w:sz w:val="24"/>
          <w:szCs w:val="24"/>
        </w:rPr>
        <w:t>são apresentados a quantidade de estudantes regularmente matriculados que estiveram ativos em 2022 (considerando-se os semestres letivos de 2021/2, 2022/1 e 2022/2</w:t>
      </w:r>
      <w:r w:rsidR="00AB466D" w:rsidRPr="00AB466D">
        <w:rPr>
          <w:color w:val="000000"/>
          <w:sz w:val="24"/>
          <w:szCs w:val="24"/>
        </w:rPr>
        <w:t>), a</w:t>
      </w:r>
      <w:r w:rsidRPr="00AB466D">
        <w:rPr>
          <w:sz w:val="24"/>
          <w:szCs w:val="24"/>
        </w:rPr>
        <w:t xml:space="preserve"> média de Coeficiente de Rendimento Acadêmico (CRA) </w:t>
      </w:r>
      <w:r w:rsidRPr="00AB466D">
        <w:rPr>
          <w:color w:val="000000"/>
          <w:sz w:val="24"/>
          <w:szCs w:val="24"/>
        </w:rPr>
        <w:t>e a Taxa Média de Reprovação do Estudante entre os grupos “Estudantes não beneficiados pelo Pnaes” e os “Estudantes beneficiados pelo PNAES”.</w:t>
      </w:r>
    </w:p>
    <w:p w:rsidR="00556468" w:rsidRPr="00AB466D" w:rsidRDefault="00556468" w:rsidP="00AB466D">
      <w:pPr>
        <w:widowControl w:val="0"/>
        <w:pBdr>
          <w:top w:val="nil"/>
          <w:left w:val="nil"/>
          <w:bottom w:val="nil"/>
          <w:right w:val="nil"/>
          <w:between w:val="nil"/>
        </w:pBdr>
        <w:spacing w:before="120" w:line="360" w:lineRule="auto"/>
        <w:ind w:firstLine="720"/>
        <w:jc w:val="both"/>
        <w:rPr>
          <w:color w:val="000000"/>
          <w:sz w:val="24"/>
          <w:szCs w:val="24"/>
          <w:highlight w:val="white"/>
        </w:rPr>
      </w:pPr>
      <w:r w:rsidRPr="00AB466D">
        <w:rPr>
          <w:color w:val="000000"/>
          <w:sz w:val="24"/>
          <w:szCs w:val="24"/>
          <w:highlight w:val="white"/>
        </w:rPr>
        <w:t>No ano de 2022, a taxa de desistência apresentou diferença entre os estudantes não beneficiários e beneficiários do Plano. Para os estudantes não beneficiários, a taxa de desistentes foi de 5,</w:t>
      </w:r>
      <w:r w:rsidRPr="00AB466D">
        <w:rPr>
          <w:sz w:val="24"/>
          <w:szCs w:val="24"/>
          <w:highlight w:val="white"/>
        </w:rPr>
        <w:t>02</w:t>
      </w:r>
      <w:r w:rsidRPr="00AB466D">
        <w:rPr>
          <w:color w:val="000000"/>
          <w:sz w:val="24"/>
          <w:szCs w:val="24"/>
          <w:highlight w:val="white"/>
        </w:rPr>
        <w:t xml:space="preserve">%, ao passo que a taxa dos beneficiados foi de </w:t>
      </w:r>
      <w:r w:rsidRPr="00AB466D">
        <w:rPr>
          <w:sz w:val="24"/>
          <w:szCs w:val="24"/>
          <w:highlight w:val="white"/>
        </w:rPr>
        <w:t>8,45</w:t>
      </w:r>
      <w:r w:rsidRPr="00AB466D">
        <w:rPr>
          <w:color w:val="000000"/>
          <w:sz w:val="24"/>
          <w:szCs w:val="24"/>
          <w:highlight w:val="white"/>
        </w:rPr>
        <w:t>%.</w:t>
      </w:r>
    </w:p>
    <w:p w:rsidR="00556468" w:rsidRPr="00AB466D" w:rsidRDefault="00556468" w:rsidP="00AB466D">
      <w:pPr>
        <w:widowControl w:val="0"/>
        <w:pBdr>
          <w:top w:val="nil"/>
          <w:left w:val="nil"/>
          <w:bottom w:val="nil"/>
          <w:right w:val="nil"/>
          <w:between w:val="nil"/>
        </w:pBdr>
        <w:spacing w:before="120" w:line="360" w:lineRule="auto"/>
        <w:ind w:firstLine="720"/>
        <w:jc w:val="both"/>
        <w:rPr>
          <w:sz w:val="24"/>
          <w:szCs w:val="24"/>
        </w:rPr>
      </w:pPr>
      <w:r w:rsidRPr="00AB466D">
        <w:rPr>
          <w:sz w:val="24"/>
          <w:szCs w:val="24"/>
        </w:rPr>
        <w:lastRenderedPageBreak/>
        <w:t>Além disso, a média da variável Coeficiente de Rendimento Acadêmico (CRA) foi de 64,59 para os estudantes não beneficiados pelo PNAES e de 67,</w:t>
      </w:r>
      <w:r w:rsidR="00AB466D" w:rsidRPr="00AB466D">
        <w:rPr>
          <w:sz w:val="24"/>
          <w:szCs w:val="24"/>
        </w:rPr>
        <w:t>72 para</w:t>
      </w:r>
      <w:r w:rsidRPr="00AB466D">
        <w:rPr>
          <w:sz w:val="24"/>
          <w:szCs w:val="24"/>
        </w:rPr>
        <w:t xml:space="preserve"> os beneficiados, ou seja, os estudantes vulneráveis apresentaram melhor rendimento acadêmico.</w:t>
      </w:r>
      <w:r w:rsidRPr="00AB466D">
        <w:rPr>
          <w:color w:val="000000"/>
          <w:sz w:val="24"/>
          <w:szCs w:val="24"/>
        </w:rPr>
        <w:t xml:space="preserve"> Quanto à Taxa Média de Reprovação do Estudante, o resultado também indica diferença significativa favorável aos estudantes beneficiados 1,66</w:t>
      </w:r>
      <w:r w:rsidRPr="00AB466D">
        <w:rPr>
          <w:sz w:val="24"/>
          <w:szCs w:val="24"/>
        </w:rPr>
        <w:t>%, se comparado aos não beneficiados 5,02%.</w:t>
      </w:r>
    </w:p>
    <w:p w:rsidR="00556468" w:rsidRDefault="00556468" w:rsidP="00556468">
      <w:pPr>
        <w:widowControl w:val="0"/>
        <w:ind w:left="1700" w:hanging="1700"/>
        <w:jc w:val="both"/>
        <w:rPr>
          <w:b/>
          <w:sz w:val="20"/>
          <w:szCs w:val="20"/>
        </w:rPr>
      </w:pPr>
    </w:p>
    <w:p w:rsidR="00556468" w:rsidRPr="00AB466D" w:rsidRDefault="00556468" w:rsidP="00556468">
      <w:pPr>
        <w:widowControl w:val="0"/>
        <w:ind w:left="1700" w:hanging="1700"/>
        <w:jc w:val="both"/>
        <w:rPr>
          <w:b/>
          <w:sz w:val="24"/>
          <w:szCs w:val="24"/>
        </w:rPr>
      </w:pPr>
      <w:r w:rsidRPr="00AB466D">
        <w:rPr>
          <w:b/>
          <w:sz w:val="24"/>
          <w:szCs w:val="24"/>
        </w:rPr>
        <w:t xml:space="preserve">QUADRO </w:t>
      </w:r>
      <w:r w:rsidR="00AB466D" w:rsidRPr="00AB466D">
        <w:rPr>
          <w:b/>
          <w:sz w:val="24"/>
          <w:szCs w:val="24"/>
        </w:rPr>
        <w:t>1</w:t>
      </w:r>
      <w:r w:rsidRPr="00AB466D">
        <w:rPr>
          <w:b/>
          <w:sz w:val="24"/>
          <w:szCs w:val="24"/>
        </w:rPr>
        <w:t xml:space="preserve"> -</w:t>
      </w:r>
      <w:r w:rsidRPr="00AB466D">
        <w:rPr>
          <w:sz w:val="24"/>
          <w:szCs w:val="24"/>
        </w:rPr>
        <w:t xml:space="preserve"> Resultados alcançados </w:t>
      </w:r>
      <w:r w:rsidR="00DF68C9">
        <w:rPr>
          <w:sz w:val="24"/>
          <w:szCs w:val="24"/>
        </w:rPr>
        <w:t xml:space="preserve">por discentes beneficiados </w:t>
      </w:r>
      <w:r w:rsidRPr="00AB466D">
        <w:rPr>
          <w:sz w:val="24"/>
          <w:szCs w:val="24"/>
        </w:rPr>
        <w:t xml:space="preserve">com </w:t>
      </w:r>
      <w:r w:rsidR="00DF68C9">
        <w:rPr>
          <w:sz w:val="24"/>
          <w:szCs w:val="24"/>
        </w:rPr>
        <w:t>recursos</w:t>
      </w:r>
      <w:r w:rsidRPr="00AB466D">
        <w:rPr>
          <w:sz w:val="24"/>
          <w:szCs w:val="24"/>
        </w:rPr>
        <w:t xml:space="preserve"> Programa </w:t>
      </w:r>
      <w:r w:rsidR="00DF68C9">
        <w:rPr>
          <w:sz w:val="24"/>
          <w:szCs w:val="24"/>
        </w:rPr>
        <w:t xml:space="preserve">Nacional </w:t>
      </w:r>
      <w:r w:rsidRPr="00AB466D">
        <w:rPr>
          <w:sz w:val="24"/>
          <w:szCs w:val="24"/>
        </w:rPr>
        <w:t xml:space="preserve">de Assistência (PANES) </w:t>
      </w:r>
      <w:r w:rsidR="00DF68C9">
        <w:rPr>
          <w:sz w:val="24"/>
          <w:szCs w:val="24"/>
        </w:rPr>
        <w:t xml:space="preserve">e não beneficiados no </w:t>
      </w:r>
      <w:r w:rsidRPr="00AB466D">
        <w:rPr>
          <w:sz w:val="24"/>
          <w:szCs w:val="24"/>
        </w:rPr>
        <w:t xml:space="preserve">ano </w:t>
      </w:r>
      <w:r w:rsidR="00DF68C9" w:rsidRPr="00AB466D">
        <w:rPr>
          <w:sz w:val="24"/>
          <w:szCs w:val="24"/>
        </w:rPr>
        <w:t>de 2022</w:t>
      </w:r>
      <w:r w:rsidRPr="00AB466D">
        <w:rPr>
          <w:sz w:val="24"/>
          <w:szCs w:val="24"/>
        </w:rPr>
        <w:t>, na UFLA.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708"/>
        <w:gridCol w:w="1694"/>
        <w:gridCol w:w="1694"/>
        <w:gridCol w:w="1664"/>
        <w:gridCol w:w="1387"/>
        <w:gridCol w:w="1694"/>
      </w:tblGrid>
      <w:tr w:rsidR="00556468" w:rsidRPr="00AB466D" w:rsidTr="00DF68C9">
        <w:tc>
          <w:tcPr>
            <w:tcW w:w="784"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b/>
                <w:sz w:val="24"/>
                <w:szCs w:val="24"/>
              </w:rPr>
            </w:pPr>
            <w:r w:rsidRPr="00AB466D">
              <w:rPr>
                <w:b/>
                <w:sz w:val="24"/>
                <w:szCs w:val="24"/>
              </w:rPr>
              <w:t>Indicadores de Desempenho Acadêmico</w:t>
            </w:r>
          </w:p>
        </w:tc>
        <w:tc>
          <w:tcPr>
            <w:tcW w:w="854"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b/>
                <w:sz w:val="24"/>
                <w:szCs w:val="24"/>
              </w:rPr>
            </w:pPr>
            <w:r w:rsidRPr="00AB466D">
              <w:rPr>
                <w:b/>
                <w:sz w:val="24"/>
                <w:szCs w:val="24"/>
              </w:rPr>
              <w:t xml:space="preserve">Estudantes Beneficiados pelo PNAES </w:t>
            </w:r>
          </w:p>
        </w:tc>
        <w:tc>
          <w:tcPr>
            <w:tcW w:w="836"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b/>
                <w:sz w:val="24"/>
                <w:szCs w:val="24"/>
              </w:rPr>
            </w:pPr>
            <w:r w:rsidRPr="00AB466D">
              <w:rPr>
                <w:b/>
                <w:sz w:val="24"/>
                <w:szCs w:val="24"/>
              </w:rPr>
              <w:t xml:space="preserve">Estudantes NÃO Beneficiados pelo PNAES </w:t>
            </w:r>
          </w:p>
          <w:p w:rsidR="00556468" w:rsidRPr="00AB466D" w:rsidRDefault="00556468" w:rsidP="00E15BB6">
            <w:pPr>
              <w:widowControl w:val="0"/>
              <w:pBdr>
                <w:top w:val="nil"/>
                <w:left w:val="nil"/>
                <w:bottom w:val="nil"/>
                <w:right w:val="nil"/>
                <w:between w:val="nil"/>
              </w:pBdr>
              <w:jc w:val="center"/>
              <w:rPr>
                <w:b/>
                <w:sz w:val="24"/>
                <w:szCs w:val="24"/>
              </w:rPr>
            </w:pPr>
          </w:p>
        </w:tc>
        <w:tc>
          <w:tcPr>
            <w:tcW w:w="958"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b/>
                <w:sz w:val="24"/>
                <w:szCs w:val="24"/>
              </w:rPr>
            </w:pPr>
            <w:r w:rsidRPr="00AB466D">
              <w:rPr>
                <w:b/>
                <w:sz w:val="24"/>
                <w:szCs w:val="24"/>
              </w:rPr>
              <w:t xml:space="preserve">Meta para </w:t>
            </w:r>
            <w:r w:rsidRPr="00AB466D">
              <w:rPr>
                <w:b/>
                <w:sz w:val="24"/>
                <w:szCs w:val="24"/>
              </w:rPr>
              <w:br/>
              <w:t>2021</w:t>
            </w:r>
          </w:p>
        </w:tc>
        <w:tc>
          <w:tcPr>
            <w:tcW w:w="767"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b/>
                <w:sz w:val="24"/>
                <w:szCs w:val="24"/>
              </w:rPr>
            </w:pPr>
            <w:r w:rsidRPr="00AB466D">
              <w:rPr>
                <w:b/>
                <w:sz w:val="24"/>
                <w:szCs w:val="24"/>
              </w:rPr>
              <w:t>Relação de proporção</w:t>
            </w:r>
          </w:p>
        </w:tc>
        <w:tc>
          <w:tcPr>
            <w:tcW w:w="801"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b/>
                <w:sz w:val="24"/>
                <w:szCs w:val="24"/>
              </w:rPr>
            </w:pPr>
            <w:r w:rsidRPr="00AB466D">
              <w:rPr>
                <w:b/>
                <w:sz w:val="24"/>
                <w:szCs w:val="24"/>
              </w:rPr>
              <w:t xml:space="preserve">% Meta </w:t>
            </w:r>
          </w:p>
          <w:p w:rsidR="00556468" w:rsidRPr="00AB466D" w:rsidRDefault="00556468" w:rsidP="00E15BB6">
            <w:pPr>
              <w:widowControl w:val="0"/>
              <w:pBdr>
                <w:top w:val="nil"/>
                <w:left w:val="nil"/>
                <w:bottom w:val="nil"/>
                <w:right w:val="nil"/>
                <w:between w:val="nil"/>
              </w:pBdr>
              <w:jc w:val="center"/>
              <w:rPr>
                <w:b/>
                <w:sz w:val="24"/>
                <w:szCs w:val="24"/>
              </w:rPr>
            </w:pPr>
            <w:r w:rsidRPr="00AB466D">
              <w:rPr>
                <w:b/>
                <w:sz w:val="24"/>
                <w:szCs w:val="24"/>
              </w:rPr>
              <w:t xml:space="preserve">Estudantes Beneficiados pelo PNAES </w:t>
            </w:r>
          </w:p>
        </w:tc>
      </w:tr>
      <w:tr w:rsidR="00556468" w:rsidRPr="00AB466D" w:rsidTr="00DF68C9">
        <w:tc>
          <w:tcPr>
            <w:tcW w:w="784"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rPr>
                <w:sz w:val="24"/>
                <w:szCs w:val="24"/>
              </w:rPr>
            </w:pPr>
            <w:r w:rsidRPr="00AB466D">
              <w:rPr>
                <w:sz w:val="24"/>
                <w:szCs w:val="24"/>
              </w:rPr>
              <w:t>Valor médio do CRA de Estudantes</w:t>
            </w:r>
          </w:p>
        </w:tc>
        <w:tc>
          <w:tcPr>
            <w:tcW w:w="854"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67,72</w:t>
            </w:r>
          </w:p>
        </w:tc>
        <w:tc>
          <w:tcPr>
            <w:tcW w:w="836"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64,59</w:t>
            </w:r>
          </w:p>
        </w:tc>
        <w:tc>
          <w:tcPr>
            <w:tcW w:w="958"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100% do CRA de não vulnerável</w:t>
            </w:r>
          </w:p>
        </w:tc>
        <w:tc>
          <w:tcPr>
            <w:tcW w:w="767"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Direta</w:t>
            </w:r>
          </w:p>
        </w:tc>
        <w:tc>
          <w:tcPr>
            <w:tcW w:w="801"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104,85</w:t>
            </w:r>
          </w:p>
          <w:p w:rsidR="00556468" w:rsidRPr="00AB466D" w:rsidRDefault="00556468" w:rsidP="00E15BB6">
            <w:pPr>
              <w:widowControl w:val="0"/>
              <w:pBdr>
                <w:top w:val="nil"/>
                <w:left w:val="nil"/>
                <w:bottom w:val="nil"/>
                <w:right w:val="nil"/>
                <w:between w:val="nil"/>
              </w:pBdr>
              <w:jc w:val="center"/>
              <w:rPr>
                <w:sz w:val="24"/>
                <w:szCs w:val="24"/>
              </w:rPr>
            </w:pPr>
          </w:p>
        </w:tc>
      </w:tr>
      <w:tr w:rsidR="00556468" w:rsidRPr="00AB466D" w:rsidTr="00DF68C9">
        <w:tc>
          <w:tcPr>
            <w:tcW w:w="784"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rPr>
                <w:sz w:val="24"/>
                <w:szCs w:val="24"/>
              </w:rPr>
            </w:pPr>
            <w:r w:rsidRPr="00AB466D">
              <w:rPr>
                <w:sz w:val="24"/>
                <w:szCs w:val="24"/>
              </w:rPr>
              <w:t>Taxa Média (%) de Reprovação de Estudante</w:t>
            </w:r>
          </w:p>
        </w:tc>
        <w:tc>
          <w:tcPr>
            <w:tcW w:w="854"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1,66</w:t>
            </w:r>
          </w:p>
        </w:tc>
        <w:tc>
          <w:tcPr>
            <w:tcW w:w="836"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5,02</w:t>
            </w:r>
          </w:p>
          <w:p w:rsidR="00556468" w:rsidRPr="00AB466D" w:rsidRDefault="00556468" w:rsidP="00E15BB6">
            <w:pPr>
              <w:widowControl w:val="0"/>
              <w:pBdr>
                <w:top w:val="nil"/>
                <w:left w:val="nil"/>
                <w:bottom w:val="nil"/>
                <w:right w:val="nil"/>
                <w:between w:val="nil"/>
              </w:pBdr>
              <w:jc w:val="center"/>
              <w:rPr>
                <w:sz w:val="24"/>
                <w:szCs w:val="24"/>
              </w:rPr>
            </w:pPr>
          </w:p>
        </w:tc>
        <w:tc>
          <w:tcPr>
            <w:tcW w:w="958" w:type="pct"/>
            <w:shd w:val="clear" w:color="auto" w:fill="auto"/>
            <w:tcMar>
              <w:top w:w="100" w:type="dxa"/>
              <w:left w:w="100" w:type="dxa"/>
              <w:bottom w:w="100" w:type="dxa"/>
              <w:right w:w="100" w:type="dxa"/>
            </w:tcMar>
          </w:tcPr>
          <w:p w:rsidR="00556468" w:rsidRPr="00AB466D" w:rsidRDefault="00556468" w:rsidP="00E15BB6">
            <w:pPr>
              <w:widowControl w:val="0"/>
              <w:jc w:val="center"/>
              <w:rPr>
                <w:sz w:val="24"/>
                <w:szCs w:val="24"/>
              </w:rPr>
            </w:pPr>
            <w:r w:rsidRPr="00AB466D">
              <w:rPr>
                <w:sz w:val="24"/>
                <w:szCs w:val="24"/>
              </w:rPr>
              <w:t>100% do CRA de não vulnerável</w:t>
            </w:r>
          </w:p>
        </w:tc>
        <w:tc>
          <w:tcPr>
            <w:tcW w:w="767"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Inversa</w:t>
            </w:r>
          </w:p>
        </w:tc>
        <w:tc>
          <w:tcPr>
            <w:tcW w:w="801"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302,41</w:t>
            </w:r>
          </w:p>
        </w:tc>
      </w:tr>
      <w:tr w:rsidR="00556468" w:rsidRPr="00AB466D" w:rsidTr="00DF68C9">
        <w:tc>
          <w:tcPr>
            <w:tcW w:w="784"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rPr>
                <w:sz w:val="24"/>
                <w:szCs w:val="24"/>
              </w:rPr>
            </w:pPr>
            <w:r w:rsidRPr="00AB466D">
              <w:rPr>
                <w:sz w:val="24"/>
                <w:szCs w:val="24"/>
              </w:rPr>
              <w:t>Taxa Média (%) de estudante desistente.</w:t>
            </w:r>
          </w:p>
        </w:tc>
        <w:tc>
          <w:tcPr>
            <w:tcW w:w="854"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8,45</w:t>
            </w:r>
          </w:p>
        </w:tc>
        <w:tc>
          <w:tcPr>
            <w:tcW w:w="836"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5.02</w:t>
            </w:r>
          </w:p>
        </w:tc>
        <w:tc>
          <w:tcPr>
            <w:tcW w:w="958" w:type="pct"/>
            <w:shd w:val="clear" w:color="auto" w:fill="auto"/>
            <w:tcMar>
              <w:top w:w="100" w:type="dxa"/>
              <w:left w:w="100" w:type="dxa"/>
              <w:bottom w:w="100" w:type="dxa"/>
              <w:right w:w="100" w:type="dxa"/>
            </w:tcMar>
          </w:tcPr>
          <w:p w:rsidR="00556468" w:rsidRPr="00AB466D" w:rsidRDefault="00556468" w:rsidP="00E15BB6">
            <w:pPr>
              <w:widowControl w:val="0"/>
              <w:jc w:val="center"/>
              <w:rPr>
                <w:sz w:val="24"/>
                <w:szCs w:val="24"/>
              </w:rPr>
            </w:pPr>
            <w:r w:rsidRPr="00AB466D">
              <w:rPr>
                <w:sz w:val="24"/>
                <w:szCs w:val="24"/>
              </w:rPr>
              <w:t>100% do CRA de não vulnerável</w:t>
            </w:r>
          </w:p>
        </w:tc>
        <w:tc>
          <w:tcPr>
            <w:tcW w:w="767"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inversa</w:t>
            </w:r>
          </w:p>
          <w:p w:rsidR="00556468" w:rsidRPr="00AB466D" w:rsidRDefault="00556468" w:rsidP="00E15BB6">
            <w:pPr>
              <w:widowControl w:val="0"/>
              <w:pBdr>
                <w:top w:val="nil"/>
                <w:left w:val="nil"/>
                <w:bottom w:val="nil"/>
                <w:right w:val="nil"/>
                <w:between w:val="nil"/>
              </w:pBdr>
              <w:jc w:val="center"/>
              <w:rPr>
                <w:sz w:val="24"/>
                <w:szCs w:val="24"/>
              </w:rPr>
            </w:pPr>
          </w:p>
        </w:tc>
        <w:tc>
          <w:tcPr>
            <w:tcW w:w="801" w:type="pct"/>
            <w:shd w:val="clear" w:color="auto" w:fill="auto"/>
            <w:tcMar>
              <w:top w:w="100" w:type="dxa"/>
              <w:left w:w="100" w:type="dxa"/>
              <w:bottom w:w="100" w:type="dxa"/>
              <w:right w:w="100" w:type="dxa"/>
            </w:tcMar>
          </w:tcPr>
          <w:p w:rsidR="00556468" w:rsidRPr="00AB466D" w:rsidRDefault="00556468" w:rsidP="00E15BB6">
            <w:pPr>
              <w:widowControl w:val="0"/>
              <w:pBdr>
                <w:top w:val="nil"/>
                <w:left w:val="nil"/>
                <w:bottom w:val="nil"/>
                <w:right w:val="nil"/>
                <w:between w:val="nil"/>
              </w:pBdr>
              <w:jc w:val="center"/>
              <w:rPr>
                <w:sz w:val="24"/>
                <w:szCs w:val="24"/>
              </w:rPr>
            </w:pPr>
            <w:r w:rsidRPr="00AB466D">
              <w:rPr>
                <w:sz w:val="24"/>
                <w:szCs w:val="24"/>
              </w:rPr>
              <w:t>114,37</w:t>
            </w:r>
          </w:p>
          <w:p w:rsidR="00556468" w:rsidRPr="00AB466D" w:rsidRDefault="00556468" w:rsidP="00E15BB6">
            <w:pPr>
              <w:widowControl w:val="0"/>
              <w:pBdr>
                <w:top w:val="nil"/>
                <w:left w:val="nil"/>
                <w:bottom w:val="nil"/>
                <w:right w:val="nil"/>
                <w:between w:val="nil"/>
              </w:pBdr>
              <w:jc w:val="center"/>
              <w:rPr>
                <w:sz w:val="24"/>
                <w:szCs w:val="24"/>
              </w:rPr>
            </w:pPr>
          </w:p>
        </w:tc>
      </w:tr>
    </w:tbl>
    <w:p w:rsidR="00556468" w:rsidRDefault="00556468" w:rsidP="00556468">
      <w:pPr>
        <w:widowControl w:val="0"/>
        <w:pBdr>
          <w:top w:val="nil"/>
          <w:left w:val="nil"/>
          <w:bottom w:val="nil"/>
          <w:right w:val="nil"/>
          <w:between w:val="nil"/>
        </w:pBdr>
        <w:spacing w:before="120"/>
        <w:ind w:firstLine="708"/>
        <w:jc w:val="both"/>
      </w:pPr>
    </w:p>
    <w:p w:rsidR="00556468" w:rsidRPr="00DF68C9" w:rsidRDefault="00556468" w:rsidP="00DF68C9">
      <w:pPr>
        <w:widowControl w:val="0"/>
        <w:pBdr>
          <w:top w:val="nil"/>
          <w:left w:val="nil"/>
          <w:bottom w:val="nil"/>
          <w:right w:val="nil"/>
          <w:between w:val="nil"/>
        </w:pBdr>
        <w:spacing w:before="120" w:line="360" w:lineRule="auto"/>
        <w:ind w:firstLine="720"/>
        <w:jc w:val="both"/>
        <w:rPr>
          <w:sz w:val="24"/>
          <w:szCs w:val="24"/>
          <w:highlight w:val="white"/>
        </w:rPr>
      </w:pPr>
      <w:r w:rsidRPr="00DF68C9">
        <w:rPr>
          <w:sz w:val="24"/>
          <w:szCs w:val="24"/>
          <w:highlight w:val="white"/>
        </w:rPr>
        <w:t xml:space="preserve">No Gráfico 1, pode-se observar, pela série histórica do </w:t>
      </w:r>
      <w:r w:rsidR="00DF68C9" w:rsidRPr="00DF68C9">
        <w:rPr>
          <w:sz w:val="24"/>
          <w:szCs w:val="24"/>
          <w:highlight w:val="white"/>
        </w:rPr>
        <w:t>CRA, que</w:t>
      </w:r>
      <w:r w:rsidRPr="00DF68C9">
        <w:rPr>
          <w:sz w:val="24"/>
          <w:szCs w:val="24"/>
          <w:highlight w:val="white"/>
        </w:rPr>
        <w:t xml:space="preserve"> os estudantes beneficiados pelo PNAES apresentam um rendimento igual ou melhor, quando comparados com os demais estudantes da Universidade. O mesmo comportamento também é observado ao analisar a série de dados relativos à Taxa de Reprovação (Gráfico 2). A Taxa de Desistência dos discentes beneficiados pelo PNAES (Gráfico 3), apresentou no último ano, um comportamento diferente dos anos anteriores. De modo </w:t>
      </w:r>
      <w:r w:rsidRPr="00DF68C9">
        <w:rPr>
          <w:sz w:val="24"/>
          <w:szCs w:val="24"/>
          <w:highlight w:val="white"/>
        </w:rPr>
        <w:lastRenderedPageBreak/>
        <w:t>empírico, é possível considerar que tal comportamento ainda está relacionado aos reflexos do período de pandemia da COVID 19, quando do Ensino Remoto muitos alunos com vulnerabilidade socioeconômica passaram a desenvolver alguma atividade econômica para a complementação da renda familiar e diante disto não retornaram para as atividades presenciais na universidade.</w:t>
      </w:r>
    </w:p>
    <w:p w:rsidR="00556468" w:rsidRPr="00DF68C9" w:rsidRDefault="00556468" w:rsidP="00DF68C9">
      <w:pPr>
        <w:widowControl w:val="0"/>
        <w:pBdr>
          <w:top w:val="nil"/>
          <w:left w:val="nil"/>
          <w:bottom w:val="nil"/>
          <w:right w:val="nil"/>
          <w:between w:val="nil"/>
        </w:pBdr>
        <w:spacing w:before="120" w:line="360" w:lineRule="auto"/>
        <w:ind w:firstLine="720"/>
        <w:jc w:val="both"/>
        <w:rPr>
          <w:color w:val="000000"/>
          <w:sz w:val="24"/>
          <w:szCs w:val="24"/>
        </w:rPr>
      </w:pPr>
      <w:r w:rsidRPr="00DF68C9">
        <w:rPr>
          <w:color w:val="000000"/>
          <w:sz w:val="24"/>
          <w:szCs w:val="24"/>
        </w:rPr>
        <w:t>Os resultados obtidos até o momento mostram que o PNAES cumpre com o seu objetivo, proporcionando aos assistidos a oportunidade de se manterem e concluírem a graduação com bons resultados acadêmicos.</w:t>
      </w:r>
    </w:p>
    <w:p w:rsidR="00556468" w:rsidRPr="00DF68C9" w:rsidRDefault="00556468" w:rsidP="00DF68C9">
      <w:pPr>
        <w:spacing w:before="120" w:line="360" w:lineRule="auto"/>
        <w:ind w:left="1559" w:hanging="1559"/>
        <w:jc w:val="both"/>
        <w:rPr>
          <w:sz w:val="24"/>
          <w:szCs w:val="24"/>
        </w:rPr>
      </w:pPr>
      <w:r w:rsidRPr="00DF68C9">
        <w:rPr>
          <w:sz w:val="24"/>
          <w:szCs w:val="24"/>
        </w:rPr>
        <w:t xml:space="preserve">GRÁFICO 1 - Valores </w:t>
      </w:r>
      <w:r w:rsidR="00DF68C9" w:rsidRPr="00DF68C9">
        <w:rPr>
          <w:sz w:val="24"/>
          <w:szCs w:val="24"/>
        </w:rPr>
        <w:t xml:space="preserve">médios </w:t>
      </w:r>
      <w:r w:rsidRPr="00DF68C9">
        <w:rPr>
          <w:sz w:val="24"/>
          <w:szCs w:val="24"/>
        </w:rPr>
        <w:t>comparativos de Coeficiente de Rendimento Acadêmico-CRA de Estudantes BENEFICIÁRIOS e NÃO BENEFICIÁRIOS do PNAES.</w:t>
      </w:r>
    </w:p>
    <w:p w:rsidR="00556468" w:rsidRDefault="00556468" w:rsidP="00DF68C9">
      <w:pPr>
        <w:spacing w:before="120"/>
        <w:jc w:val="center"/>
      </w:pPr>
      <w:r>
        <w:rPr>
          <w:noProof/>
          <w:lang w:val="pt-BR"/>
        </w:rPr>
        <w:drawing>
          <wp:inline distT="114300" distB="114300" distL="114300" distR="114300">
            <wp:extent cx="5401000" cy="3390900"/>
            <wp:effectExtent l="0" t="0" r="0" b="0"/>
            <wp:docPr id="89"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0" cstate="print"/>
                    <a:srcRect/>
                    <a:stretch>
                      <a:fillRect/>
                    </a:stretch>
                  </pic:blipFill>
                  <pic:spPr>
                    <a:xfrm>
                      <a:off x="0" y="0"/>
                      <a:ext cx="5401000" cy="3390900"/>
                    </a:xfrm>
                    <a:prstGeom prst="rect">
                      <a:avLst/>
                    </a:prstGeom>
                    <a:ln/>
                  </pic:spPr>
                </pic:pic>
              </a:graphicData>
            </a:graphic>
          </wp:inline>
        </w:drawing>
      </w:r>
    </w:p>
    <w:p w:rsidR="00556468" w:rsidRPr="00DF68C9" w:rsidRDefault="00556468" w:rsidP="00DF68C9">
      <w:pPr>
        <w:spacing w:before="120" w:line="360" w:lineRule="auto"/>
        <w:ind w:left="1417" w:hanging="1417"/>
        <w:jc w:val="both"/>
        <w:rPr>
          <w:sz w:val="24"/>
          <w:szCs w:val="24"/>
        </w:rPr>
      </w:pPr>
      <w:r w:rsidRPr="00DF68C9">
        <w:rPr>
          <w:sz w:val="24"/>
          <w:szCs w:val="24"/>
        </w:rPr>
        <w:t xml:space="preserve">GRÁFICO 2 - Valores </w:t>
      </w:r>
      <w:r w:rsidR="00DF68C9" w:rsidRPr="00DF68C9">
        <w:rPr>
          <w:sz w:val="24"/>
          <w:szCs w:val="24"/>
        </w:rPr>
        <w:t xml:space="preserve">médios </w:t>
      </w:r>
      <w:r w:rsidRPr="00DF68C9">
        <w:rPr>
          <w:sz w:val="24"/>
          <w:szCs w:val="24"/>
        </w:rPr>
        <w:t>comparativos de Taxa de Reprovação de Estudantes BENEFICIÁRIOS e NÃO BENEFICIÁRIOS do PNAES.</w:t>
      </w:r>
    </w:p>
    <w:p w:rsidR="00556468" w:rsidRDefault="00556468" w:rsidP="00DF68C9">
      <w:pPr>
        <w:spacing w:before="120"/>
        <w:jc w:val="center"/>
      </w:pPr>
      <w:r>
        <w:rPr>
          <w:noProof/>
          <w:lang w:val="pt-BR"/>
        </w:rPr>
        <w:lastRenderedPageBreak/>
        <w:drawing>
          <wp:inline distT="114300" distB="114300" distL="114300" distR="114300">
            <wp:extent cx="5401000" cy="3365500"/>
            <wp:effectExtent l="0" t="0" r="0" b="0"/>
            <wp:docPr id="88" name="image3.png" descr="Gráfico"/>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11" cstate="print"/>
                    <a:srcRect/>
                    <a:stretch>
                      <a:fillRect/>
                    </a:stretch>
                  </pic:blipFill>
                  <pic:spPr>
                    <a:xfrm>
                      <a:off x="0" y="0"/>
                      <a:ext cx="5401000" cy="3365500"/>
                    </a:xfrm>
                    <a:prstGeom prst="rect">
                      <a:avLst/>
                    </a:prstGeom>
                    <a:ln/>
                  </pic:spPr>
                </pic:pic>
              </a:graphicData>
            </a:graphic>
          </wp:inline>
        </w:drawing>
      </w:r>
    </w:p>
    <w:p w:rsidR="00556468" w:rsidRPr="00DF68C9" w:rsidRDefault="00556468" w:rsidP="00DF68C9">
      <w:pPr>
        <w:spacing w:before="120" w:line="360" w:lineRule="auto"/>
        <w:ind w:left="1275" w:hanging="1275"/>
        <w:jc w:val="both"/>
        <w:rPr>
          <w:sz w:val="24"/>
          <w:szCs w:val="24"/>
        </w:rPr>
      </w:pPr>
      <w:r w:rsidRPr="00DF68C9">
        <w:rPr>
          <w:sz w:val="24"/>
          <w:szCs w:val="24"/>
        </w:rPr>
        <w:t>GRÁFICO 3 - Valores comparativos médios de Taxa de Desistentes ou desligados de  Estudantes BENEFICIÁRIOS e NÃO BENEFICIÁRIOS do PNAES.</w:t>
      </w:r>
    </w:p>
    <w:p w:rsidR="00556468" w:rsidRDefault="00556468" w:rsidP="00DF68C9">
      <w:pPr>
        <w:spacing w:before="120"/>
        <w:jc w:val="center"/>
      </w:pPr>
      <w:r>
        <w:rPr>
          <w:noProof/>
          <w:lang w:val="pt-BR"/>
        </w:rPr>
        <w:drawing>
          <wp:inline distT="114300" distB="114300" distL="114300" distR="114300">
            <wp:extent cx="5401000" cy="3403600"/>
            <wp:effectExtent l="0" t="0" r="0" b="0"/>
            <wp:docPr id="87" name="image4.png" descr="Gráfico"/>
            <wp:cNvGraphicFramePr/>
            <a:graphic xmlns:a="http://schemas.openxmlformats.org/drawingml/2006/main">
              <a:graphicData uri="http://schemas.openxmlformats.org/drawingml/2006/picture">
                <pic:pic xmlns:pic="http://schemas.openxmlformats.org/drawingml/2006/picture">
                  <pic:nvPicPr>
                    <pic:cNvPr id="0" name="image4.png" descr="Gráfico"/>
                    <pic:cNvPicPr preferRelativeResize="0"/>
                  </pic:nvPicPr>
                  <pic:blipFill>
                    <a:blip r:embed="rId12" cstate="print"/>
                    <a:srcRect/>
                    <a:stretch>
                      <a:fillRect/>
                    </a:stretch>
                  </pic:blipFill>
                  <pic:spPr>
                    <a:xfrm>
                      <a:off x="0" y="0"/>
                      <a:ext cx="5401000" cy="3403600"/>
                    </a:xfrm>
                    <a:prstGeom prst="rect">
                      <a:avLst/>
                    </a:prstGeom>
                    <a:ln/>
                  </pic:spPr>
                </pic:pic>
              </a:graphicData>
            </a:graphic>
          </wp:inline>
        </w:drawing>
      </w:r>
    </w:p>
    <w:p w:rsidR="00DF68C9" w:rsidRPr="00DF68C9" w:rsidRDefault="00DF68C9" w:rsidP="00DF68C9">
      <w:pPr>
        <w:widowControl w:val="0"/>
        <w:pBdr>
          <w:top w:val="nil"/>
          <w:left w:val="nil"/>
          <w:bottom w:val="nil"/>
          <w:right w:val="nil"/>
          <w:between w:val="nil"/>
        </w:pBdr>
        <w:spacing w:before="120" w:line="360" w:lineRule="auto"/>
        <w:jc w:val="both"/>
        <w:rPr>
          <w:b/>
          <w:bCs/>
          <w:sz w:val="24"/>
          <w:szCs w:val="24"/>
        </w:rPr>
      </w:pPr>
      <w:r w:rsidRPr="00DF68C9">
        <w:rPr>
          <w:b/>
          <w:bCs/>
          <w:sz w:val="24"/>
          <w:szCs w:val="24"/>
        </w:rPr>
        <w:t>5. Considerações Finais</w:t>
      </w:r>
    </w:p>
    <w:p w:rsidR="00DF68C9" w:rsidRPr="00DF68C9" w:rsidRDefault="00DF68C9" w:rsidP="00DF68C9">
      <w:pPr>
        <w:widowControl w:val="0"/>
        <w:pBdr>
          <w:top w:val="nil"/>
          <w:left w:val="nil"/>
          <w:bottom w:val="nil"/>
          <w:right w:val="nil"/>
          <w:between w:val="nil"/>
        </w:pBdr>
        <w:spacing w:before="120" w:line="360" w:lineRule="auto"/>
        <w:ind w:firstLine="720"/>
        <w:jc w:val="both"/>
        <w:rPr>
          <w:sz w:val="24"/>
          <w:szCs w:val="24"/>
        </w:rPr>
      </w:pPr>
      <w:r w:rsidRPr="00DF68C9">
        <w:rPr>
          <w:sz w:val="24"/>
          <w:szCs w:val="24"/>
        </w:rPr>
        <w:t>Os resultados obtidos até o momento mostram que o PNAES cumpre com o seu</w:t>
      </w:r>
    </w:p>
    <w:p w:rsidR="00DF68C9" w:rsidRPr="00DF68C9" w:rsidRDefault="00DF68C9" w:rsidP="00DF68C9">
      <w:pPr>
        <w:widowControl w:val="0"/>
        <w:pBdr>
          <w:top w:val="nil"/>
          <w:left w:val="nil"/>
          <w:bottom w:val="nil"/>
          <w:right w:val="nil"/>
          <w:between w:val="nil"/>
        </w:pBdr>
        <w:spacing w:before="120" w:line="360" w:lineRule="auto"/>
        <w:jc w:val="both"/>
        <w:rPr>
          <w:sz w:val="24"/>
          <w:szCs w:val="24"/>
        </w:rPr>
      </w:pPr>
      <w:r w:rsidRPr="00DF68C9">
        <w:rPr>
          <w:sz w:val="24"/>
          <w:szCs w:val="24"/>
        </w:rPr>
        <w:t>objetivo, proporcionando aos assistidos a oportunidade de se manterem e concluírem a</w:t>
      </w:r>
    </w:p>
    <w:p w:rsidR="009A3BC5" w:rsidRDefault="00DF68C9" w:rsidP="00DF68C9">
      <w:pPr>
        <w:widowControl w:val="0"/>
        <w:pBdr>
          <w:top w:val="nil"/>
          <w:left w:val="nil"/>
          <w:bottom w:val="nil"/>
          <w:right w:val="nil"/>
          <w:between w:val="nil"/>
        </w:pBdr>
        <w:spacing w:before="120" w:line="360" w:lineRule="auto"/>
        <w:jc w:val="both"/>
        <w:rPr>
          <w:sz w:val="24"/>
          <w:szCs w:val="24"/>
        </w:rPr>
      </w:pPr>
      <w:r w:rsidRPr="00DF68C9">
        <w:rPr>
          <w:sz w:val="24"/>
          <w:szCs w:val="24"/>
        </w:rPr>
        <w:t>graduação com bons resultados acadêmicos.</w:t>
      </w:r>
    </w:p>
    <w:sectPr w:rsidR="009A3BC5" w:rsidSect="00616BD3">
      <w:footerReference w:type="default" r:id="rId13"/>
      <w:pgSz w:w="11906" w:h="16838"/>
      <w:pgMar w:top="1134" w:right="847" w:bottom="113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EC" w:rsidRDefault="00FC61EC">
      <w:pPr>
        <w:spacing w:after="0" w:line="240" w:lineRule="auto"/>
      </w:pPr>
      <w:r>
        <w:separator/>
      </w:r>
    </w:p>
  </w:endnote>
  <w:endnote w:type="continuationSeparator" w:id="0">
    <w:p w:rsidR="00FC61EC" w:rsidRDefault="00FC6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C5" w:rsidRDefault="009A3BC5">
    <w:pPr>
      <w:pBdr>
        <w:top w:val="nil"/>
        <w:left w:val="nil"/>
        <w:bottom w:val="nil"/>
        <w:right w:val="nil"/>
        <w:between w:val="nil"/>
      </w:pBdr>
      <w:tabs>
        <w:tab w:val="center" w:pos="4252"/>
        <w:tab w:val="right" w:pos="8504"/>
      </w:tabs>
      <w:spacing w:after="0" w:line="240" w:lineRule="auto"/>
      <w:jc w:val="right"/>
      <w:rPr>
        <w:color w:val="000000"/>
      </w:rPr>
    </w:pPr>
  </w:p>
  <w:p w:rsidR="009A3BC5" w:rsidRDefault="009A3BC5">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C5" w:rsidRDefault="00616BD3">
    <w:pPr>
      <w:pBdr>
        <w:top w:val="nil"/>
        <w:left w:val="nil"/>
        <w:bottom w:val="nil"/>
        <w:right w:val="nil"/>
        <w:between w:val="nil"/>
      </w:pBdr>
      <w:tabs>
        <w:tab w:val="center" w:pos="4252"/>
        <w:tab w:val="right" w:pos="8504"/>
      </w:tabs>
      <w:spacing w:after="0" w:line="240" w:lineRule="auto"/>
      <w:jc w:val="right"/>
      <w:rPr>
        <w:color w:val="000000"/>
      </w:rPr>
    </w:pPr>
    <w:r>
      <w:rPr>
        <w:color w:val="000000"/>
        <w:sz w:val="20"/>
        <w:szCs w:val="20"/>
      </w:rPr>
      <w:fldChar w:fldCharType="begin"/>
    </w:r>
    <w:r w:rsidR="00FC61EC">
      <w:rPr>
        <w:color w:val="000000"/>
        <w:sz w:val="20"/>
        <w:szCs w:val="20"/>
      </w:rPr>
      <w:instrText>PAGE</w:instrText>
    </w:r>
    <w:r>
      <w:rPr>
        <w:color w:val="000000"/>
        <w:sz w:val="20"/>
        <w:szCs w:val="20"/>
      </w:rPr>
      <w:fldChar w:fldCharType="separate"/>
    </w:r>
    <w:r w:rsidR="00932FF8">
      <w:rPr>
        <w:noProof/>
        <w:color w:val="000000"/>
        <w:sz w:val="20"/>
        <w:szCs w:val="20"/>
      </w:rPr>
      <w:t>1</w:t>
    </w:r>
    <w:r>
      <w:rPr>
        <w:color w:val="000000"/>
        <w:sz w:val="20"/>
        <w:szCs w:val="20"/>
      </w:rPr>
      <w:fldChar w:fldCharType="end"/>
    </w:r>
  </w:p>
  <w:p w:rsidR="009A3BC5" w:rsidRDefault="009A3BC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EC" w:rsidRDefault="00FC61EC">
      <w:pPr>
        <w:spacing w:after="0" w:line="240" w:lineRule="auto"/>
      </w:pPr>
      <w:r>
        <w:separator/>
      </w:r>
    </w:p>
  </w:footnote>
  <w:footnote w:type="continuationSeparator" w:id="0">
    <w:p w:rsidR="00FC61EC" w:rsidRDefault="00FC61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774A"/>
    <w:multiLevelType w:val="multilevel"/>
    <w:tmpl w:val="655CD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327640"/>
    <w:multiLevelType w:val="multilevel"/>
    <w:tmpl w:val="97088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4276CE1"/>
    <w:multiLevelType w:val="multilevel"/>
    <w:tmpl w:val="81E21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9A3BC5"/>
    <w:rsid w:val="00130E00"/>
    <w:rsid w:val="003C6BCC"/>
    <w:rsid w:val="00556468"/>
    <w:rsid w:val="00616BD3"/>
    <w:rsid w:val="006C22E3"/>
    <w:rsid w:val="0078517D"/>
    <w:rsid w:val="00825305"/>
    <w:rsid w:val="0087539E"/>
    <w:rsid w:val="0089459C"/>
    <w:rsid w:val="00932FF8"/>
    <w:rsid w:val="009A3BC5"/>
    <w:rsid w:val="00AB466D"/>
    <w:rsid w:val="00DF68C9"/>
    <w:rsid w:val="00FC61EC"/>
    <w:rsid w:val="00FD78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7"/>
        <w:szCs w:val="27"/>
        <w:lang w:val="pt-PT"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60"/>
  </w:style>
  <w:style w:type="paragraph" w:styleId="Ttulo1">
    <w:name w:val="heading 1"/>
    <w:basedOn w:val="Normal"/>
    <w:link w:val="Ttulo1Char"/>
    <w:uiPriority w:val="9"/>
    <w:qFormat/>
    <w:rsid w:val="00D503B3"/>
    <w:pPr>
      <w:widowControl w:val="0"/>
      <w:autoSpaceDE w:val="0"/>
      <w:autoSpaceDN w:val="0"/>
      <w:spacing w:before="126" w:after="0" w:line="240" w:lineRule="auto"/>
      <w:ind w:left="110"/>
      <w:outlineLvl w:val="0"/>
    </w:pPr>
    <w:rPr>
      <w:rFonts w:ascii="Calibri" w:eastAsia="Calibri" w:hAnsi="Calibri" w:cs="Calibri"/>
      <w:sz w:val="28"/>
      <w:szCs w:val="28"/>
    </w:rPr>
  </w:style>
  <w:style w:type="paragraph" w:styleId="Ttulo2">
    <w:name w:val="heading 2"/>
    <w:basedOn w:val="Normal3"/>
    <w:next w:val="Normal3"/>
    <w:uiPriority w:val="9"/>
    <w:unhideWhenUsed/>
    <w:qFormat/>
    <w:rsid w:val="003603F5"/>
    <w:pPr>
      <w:keepNext/>
      <w:keepLines/>
      <w:spacing w:before="360" w:after="80"/>
      <w:outlineLvl w:val="1"/>
    </w:pPr>
    <w:rPr>
      <w:b/>
      <w:sz w:val="36"/>
      <w:szCs w:val="36"/>
    </w:rPr>
  </w:style>
  <w:style w:type="paragraph" w:styleId="Ttulo3">
    <w:name w:val="heading 3"/>
    <w:basedOn w:val="Normal3"/>
    <w:next w:val="Normal3"/>
    <w:uiPriority w:val="9"/>
    <w:unhideWhenUsed/>
    <w:qFormat/>
    <w:rsid w:val="003603F5"/>
    <w:pPr>
      <w:keepNext/>
      <w:keepLines/>
      <w:spacing w:before="280" w:after="80"/>
      <w:outlineLvl w:val="2"/>
    </w:pPr>
    <w:rPr>
      <w:b/>
      <w:sz w:val="28"/>
      <w:szCs w:val="28"/>
    </w:rPr>
  </w:style>
  <w:style w:type="paragraph" w:styleId="Ttulo4">
    <w:name w:val="heading 4"/>
    <w:basedOn w:val="Normal3"/>
    <w:next w:val="Normal3"/>
    <w:uiPriority w:val="9"/>
    <w:semiHidden/>
    <w:unhideWhenUsed/>
    <w:qFormat/>
    <w:rsid w:val="003603F5"/>
    <w:pPr>
      <w:keepNext/>
      <w:keepLines/>
      <w:spacing w:before="240" w:after="40"/>
      <w:outlineLvl w:val="3"/>
    </w:pPr>
    <w:rPr>
      <w:b/>
      <w:sz w:val="24"/>
      <w:szCs w:val="24"/>
    </w:rPr>
  </w:style>
  <w:style w:type="paragraph" w:styleId="Ttulo5">
    <w:name w:val="heading 5"/>
    <w:basedOn w:val="Normal3"/>
    <w:next w:val="Normal3"/>
    <w:uiPriority w:val="9"/>
    <w:semiHidden/>
    <w:unhideWhenUsed/>
    <w:qFormat/>
    <w:rsid w:val="003603F5"/>
    <w:pPr>
      <w:keepNext/>
      <w:keepLines/>
      <w:spacing w:before="220" w:after="40"/>
      <w:outlineLvl w:val="4"/>
    </w:pPr>
    <w:rPr>
      <w:b/>
      <w:sz w:val="22"/>
      <w:szCs w:val="22"/>
    </w:rPr>
  </w:style>
  <w:style w:type="paragraph" w:styleId="Ttulo6">
    <w:name w:val="heading 6"/>
    <w:basedOn w:val="Normal3"/>
    <w:next w:val="Normal3"/>
    <w:uiPriority w:val="9"/>
    <w:semiHidden/>
    <w:unhideWhenUsed/>
    <w:qFormat/>
    <w:rsid w:val="003603F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16BD3"/>
    <w:tblPr>
      <w:tblCellMar>
        <w:top w:w="0" w:type="dxa"/>
        <w:left w:w="0" w:type="dxa"/>
        <w:bottom w:w="0" w:type="dxa"/>
        <w:right w:w="0" w:type="dxa"/>
      </w:tblCellMar>
    </w:tblPr>
  </w:style>
  <w:style w:type="paragraph" w:styleId="Ttulo">
    <w:name w:val="Title"/>
    <w:basedOn w:val="Normal3"/>
    <w:next w:val="Normal3"/>
    <w:uiPriority w:val="10"/>
    <w:qFormat/>
    <w:rsid w:val="003603F5"/>
    <w:pPr>
      <w:keepNext/>
      <w:keepLines/>
      <w:spacing w:before="480" w:after="120"/>
    </w:pPr>
    <w:rPr>
      <w:b/>
      <w:sz w:val="72"/>
      <w:szCs w:val="72"/>
    </w:rPr>
  </w:style>
  <w:style w:type="paragraph" w:customStyle="1" w:styleId="Normal1">
    <w:name w:val="Normal1"/>
    <w:rsid w:val="00B51EBD"/>
  </w:style>
  <w:style w:type="table" w:customStyle="1" w:styleId="TableNormal0">
    <w:name w:val="Table Normal"/>
    <w:rsid w:val="00B51EBD"/>
    <w:tblPr>
      <w:tblCellMar>
        <w:top w:w="0" w:type="dxa"/>
        <w:left w:w="0" w:type="dxa"/>
        <w:bottom w:w="0" w:type="dxa"/>
        <w:right w:w="0" w:type="dxa"/>
      </w:tblCellMar>
    </w:tblPr>
  </w:style>
  <w:style w:type="paragraph" w:customStyle="1" w:styleId="Normal2">
    <w:name w:val="Normal2"/>
    <w:rsid w:val="003603F5"/>
  </w:style>
  <w:style w:type="table" w:customStyle="1" w:styleId="TableNormal1">
    <w:name w:val="Table Normal"/>
    <w:rsid w:val="003603F5"/>
    <w:tblPr>
      <w:tblCellMar>
        <w:top w:w="0" w:type="dxa"/>
        <w:left w:w="0" w:type="dxa"/>
        <w:bottom w:w="0" w:type="dxa"/>
        <w:right w:w="0" w:type="dxa"/>
      </w:tblCellMar>
    </w:tblPr>
  </w:style>
  <w:style w:type="paragraph" w:customStyle="1" w:styleId="Normal3">
    <w:name w:val="Normal3"/>
    <w:rsid w:val="003603F5"/>
  </w:style>
  <w:style w:type="table" w:customStyle="1" w:styleId="TableNormal2">
    <w:name w:val="Table Normal"/>
    <w:rsid w:val="003603F5"/>
    <w:tblPr>
      <w:tblCellMar>
        <w:top w:w="0" w:type="dxa"/>
        <w:left w:w="0" w:type="dxa"/>
        <w:bottom w:w="0" w:type="dxa"/>
        <w:right w:w="0" w:type="dxa"/>
      </w:tblCellMar>
    </w:tblPr>
  </w:style>
  <w:style w:type="paragraph" w:styleId="Corpodetexto">
    <w:name w:val="Body Text"/>
    <w:basedOn w:val="Normal"/>
    <w:link w:val="CorpodetextoChar"/>
    <w:uiPriority w:val="1"/>
    <w:qFormat/>
    <w:rsid w:val="0006194D"/>
    <w:pPr>
      <w:widowControl w:val="0"/>
      <w:autoSpaceDE w:val="0"/>
      <w:autoSpaceDN w:val="0"/>
      <w:spacing w:after="0" w:line="240" w:lineRule="auto"/>
    </w:pPr>
    <w:rPr>
      <w:rFonts w:ascii="Tahoma" w:eastAsia="Tahoma" w:hAnsi="Tahoma" w:cs="Tahoma"/>
      <w:sz w:val="22"/>
      <w:szCs w:val="22"/>
    </w:rPr>
  </w:style>
  <w:style w:type="character" w:customStyle="1" w:styleId="CorpodetextoChar">
    <w:name w:val="Corpo de texto Char"/>
    <w:basedOn w:val="Fontepargpadro"/>
    <w:link w:val="Corpodetexto"/>
    <w:uiPriority w:val="1"/>
    <w:rsid w:val="0006194D"/>
    <w:rPr>
      <w:rFonts w:ascii="Tahoma" w:eastAsia="Tahoma" w:hAnsi="Tahoma" w:cs="Tahoma"/>
      <w:color w:val="auto"/>
      <w:sz w:val="22"/>
      <w:szCs w:val="22"/>
      <w:lang w:val="pt-PT"/>
    </w:rPr>
  </w:style>
  <w:style w:type="paragraph" w:styleId="Textodebalo">
    <w:name w:val="Balloon Text"/>
    <w:basedOn w:val="Normal"/>
    <w:link w:val="TextodebaloChar"/>
    <w:uiPriority w:val="99"/>
    <w:semiHidden/>
    <w:unhideWhenUsed/>
    <w:rsid w:val="008D35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35D4"/>
    <w:rPr>
      <w:rFonts w:ascii="Tahoma" w:hAnsi="Tahoma" w:cs="Tahoma"/>
      <w:sz w:val="16"/>
      <w:szCs w:val="16"/>
    </w:rPr>
  </w:style>
  <w:style w:type="table" w:styleId="Tabelacomgrade">
    <w:name w:val="Table Grid"/>
    <w:basedOn w:val="Tabelanormal"/>
    <w:uiPriority w:val="59"/>
    <w:rsid w:val="003868E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503B3"/>
    <w:rPr>
      <w:rFonts w:ascii="Calibri" w:eastAsia="Calibri" w:hAnsi="Calibri" w:cs="Calibri"/>
      <w:color w:val="auto"/>
      <w:sz w:val="28"/>
      <w:szCs w:val="28"/>
      <w:lang w:val="pt-PT"/>
    </w:rPr>
  </w:style>
  <w:style w:type="paragraph" w:styleId="Subttulo">
    <w:name w:val="Subtitle"/>
    <w:basedOn w:val="Normal"/>
    <w:next w:val="Normal"/>
    <w:uiPriority w:val="11"/>
    <w:qFormat/>
    <w:rsid w:val="00616BD3"/>
    <w:pPr>
      <w:keepNext/>
      <w:keepLines/>
      <w:spacing w:before="360" w:after="80"/>
    </w:pPr>
    <w:rPr>
      <w:rFonts w:ascii="Georgia" w:eastAsia="Georgia" w:hAnsi="Georgia" w:cs="Georgia"/>
      <w:i/>
      <w:color w:val="666666"/>
      <w:sz w:val="48"/>
      <w:szCs w:val="48"/>
    </w:rPr>
  </w:style>
  <w:style w:type="table" w:customStyle="1" w:styleId="a">
    <w:basedOn w:val="TableNormal2"/>
    <w:rsid w:val="003603F5"/>
    <w:pPr>
      <w:spacing w:after="0" w:line="240" w:lineRule="auto"/>
    </w:pPr>
    <w:rPr>
      <w:rFonts w:ascii="Calibri" w:eastAsia="Calibri" w:hAnsi="Calibri" w:cs="Calibri"/>
      <w:color w:val="000000"/>
      <w:sz w:val="22"/>
      <w:szCs w:val="22"/>
    </w:rPr>
    <w:tblPr>
      <w:tblStyleRowBandSize w:val="1"/>
      <w:tblStyleColBandSize w:val="1"/>
      <w:tblCellMar>
        <w:top w:w="0" w:type="dxa"/>
        <w:left w:w="108" w:type="dxa"/>
        <w:bottom w:w="0" w:type="dxa"/>
        <w:right w:w="108" w:type="dxa"/>
      </w:tblCellMar>
    </w:tblPr>
  </w:style>
  <w:style w:type="table" w:customStyle="1" w:styleId="a0">
    <w:basedOn w:val="TableNormal2"/>
    <w:rsid w:val="003603F5"/>
    <w:pPr>
      <w:spacing w:after="0" w:line="240" w:lineRule="auto"/>
    </w:pPr>
    <w:rPr>
      <w:rFonts w:ascii="Calibri" w:eastAsia="Calibri" w:hAnsi="Calibri" w:cs="Calibri"/>
      <w:color w:val="000000"/>
      <w:sz w:val="22"/>
      <w:szCs w:val="22"/>
    </w:rPr>
    <w:tblPr>
      <w:tblStyleRowBandSize w:val="1"/>
      <w:tblStyleColBandSize w:val="1"/>
      <w:tblCellMar>
        <w:top w:w="0" w:type="dxa"/>
        <w:left w:w="108" w:type="dxa"/>
        <w:bottom w:w="0" w:type="dxa"/>
        <w:right w:w="108" w:type="dxa"/>
      </w:tblCellMar>
    </w:tblPr>
  </w:style>
  <w:style w:type="table" w:customStyle="1" w:styleId="a1">
    <w:basedOn w:val="TableNormal1"/>
    <w:rsid w:val="00B51EBD"/>
    <w:pPr>
      <w:spacing w:after="0" w:line="240" w:lineRule="auto"/>
    </w:pPr>
    <w:rPr>
      <w:rFonts w:ascii="Calibri" w:eastAsia="Calibri" w:hAnsi="Calibri" w:cs="Calibri"/>
      <w:color w:val="000000"/>
      <w:sz w:val="22"/>
      <w:szCs w:val="22"/>
    </w:rPr>
    <w:tblPr>
      <w:tblStyleRowBandSize w:val="1"/>
      <w:tblStyleColBandSize w:val="1"/>
      <w:tblCellMar>
        <w:top w:w="0" w:type="dxa"/>
        <w:left w:w="108" w:type="dxa"/>
        <w:bottom w:w="0" w:type="dxa"/>
        <w:right w:w="108" w:type="dxa"/>
      </w:tblCellMar>
    </w:tblPr>
  </w:style>
  <w:style w:type="table" w:customStyle="1" w:styleId="a2">
    <w:basedOn w:val="TableNormal1"/>
    <w:rsid w:val="00B51EBD"/>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CC6255"/>
    <w:pPr>
      <w:ind w:left="720"/>
      <w:contextualSpacing/>
    </w:pPr>
  </w:style>
  <w:style w:type="paragraph" w:styleId="Cabealho">
    <w:name w:val="header"/>
    <w:basedOn w:val="Normal"/>
    <w:link w:val="CabealhoChar"/>
    <w:uiPriority w:val="99"/>
    <w:semiHidden/>
    <w:unhideWhenUsed/>
    <w:rsid w:val="00343D9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43D99"/>
  </w:style>
  <w:style w:type="paragraph" w:styleId="Rodap">
    <w:name w:val="footer"/>
    <w:basedOn w:val="Normal"/>
    <w:link w:val="RodapChar"/>
    <w:uiPriority w:val="99"/>
    <w:unhideWhenUsed/>
    <w:rsid w:val="00343D99"/>
    <w:pPr>
      <w:tabs>
        <w:tab w:val="center" w:pos="4252"/>
        <w:tab w:val="right" w:pos="8504"/>
      </w:tabs>
      <w:spacing w:after="0" w:line="240" w:lineRule="auto"/>
    </w:pPr>
  </w:style>
  <w:style w:type="character" w:customStyle="1" w:styleId="RodapChar">
    <w:name w:val="Rodapé Char"/>
    <w:basedOn w:val="Fontepargpadro"/>
    <w:link w:val="Rodap"/>
    <w:uiPriority w:val="99"/>
    <w:rsid w:val="00343D99"/>
  </w:style>
  <w:style w:type="table" w:customStyle="1" w:styleId="a3">
    <w:basedOn w:val="TableNormal0"/>
    <w:rsid w:val="00616BD3"/>
    <w:pP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0"/>
    <w:rsid w:val="00616BD3"/>
    <w:pP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3vVlfc5cBaN7MlJwEXOizI6Q==">AMUW2mVwfARDBRYeRKkp7fdy9t/bgCWmum9At7gD9nRhx2RsCyk/yFhqfB51jMxvTj5saWoiJcVyN0mz1a2RXEipTQDcsH8ZtRHTuZ6gyI4LZ9GnLMgYXjHrxLVUel3SFnlmjoOLOZOaxOyswwt2rRL+obcLg5VJqquuFiqn4EMR1ueTPus1M/qy2THyhr/E7sM8wl3KKZl3iqQ6g4kYpAUzOinEQzwV+THKqdgqMDryA3o71krDZFQCtTFQPeJLcq9SbSoVykZjpwsp/S7b24KOs7U9lSF+ZTs0ftdYLog0DDENgPeDeXz14jTnzgvezicLvste/GLHYtUTdEZn7kAtyvWbXn9s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2560</Words>
  <Characters>13829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Vinícius Batista Gonçalves</cp:lastModifiedBy>
  <cp:revision>3</cp:revision>
  <dcterms:created xsi:type="dcterms:W3CDTF">2023-08-08T23:48:00Z</dcterms:created>
  <dcterms:modified xsi:type="dcterms:W3CDTF">2023-09-12T19:43:00Z</dcterms:modified>
</cp:coreProperties>
</file>